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A0E1" w14:textId="77777777" w:rsidR="002E7278" w:rsidRDefault="007B5160">
      <w:pPr>
        <w:pStyle w:val="Ttulo1"/>
        <w:ind w:left="0" w:right="134" w:firstLine="0"/>
        <w:jc w:val="center"/>
        <w:rPr>
          <w:rFonts w:ascii="Arial" w:eastAsia="Arial" w:hAnsi="Arial" w:cs="Arial"/>
          <w:color w:val="E80303"/>
          <w:sz w:val="24"/>
          <w:szCs w:val="24"/>
          <w:u w:val="none"/>
        </w:rPr>
      </w:pPr>
      <w:r>
        <w:rPr>
          <w:rFonts w:ascii="Arial" w:eastAsia="Arial" w:hAnsi="Arial" w:cs="Arial"/>
          <w:color w:val="E80303"/>
          <w:sz w:val="24"/>
          <w:szCs w:val="24"/>
          <w:u w:val="none"/>
        </w:rPr>
        <w:t>DIRECTIVA SOBRE RECUSACIÓN DE ÁRBITROS DE CENTRO DE ARBITRAJE, PERITAJE Y JUNTA DE RESOLUCIÓN DE DISPUTAS DEL CIP-UCAYALI</w:t>
      </w:r>
    </w:p>
    <w:p w14:paraId="1F21A644" w14:textId="77777777" w:rsidR="002E7278" w:rsidRDefault="007B5160">
      <w:pPr>
        <w:pBdr>
          <w:top w:val="nil"/>
          <w:left w:val="nil"/>
          <w:bottom w:val="nil"/>
          <w:right w:val="nil"/>
          <w:between w:val="nil"/>
        </w:pBdr>
        <w:spacing w:before="184" w:line="259" w:lineRule="auto"/>
        <w:ind w:left="2" w:right="134"/>
        <w:jc w:val="both"/>
        <w:rPr>
          <w:rFonts w:ascii="Arial" w:eastAsia="Arial" w:hAnsi="Arial" w:cs="Arial"/>
          <w:color w:val="000000"/>
        </w:rPr>
      </w:pPr>
      <w:r>
        <w:rPr>
          <w:rFonts w:ascii="Arial" w:eastAsia="Arial" w:hAnsi="Arial" w:cs="Arial"/>
          <w:color w:val="000000"/>
        </w:rPr>
        <w:t xml:space="preserve">El Consejo Superior de Arbitraje (en adelante, el Consejo) de CENTRO DE ARBITRAJE, PERITAJE Y JUNTA DE </w:t>
      </w:r>
      <w:r>
        <w:rPr>
          <w:rFonts w:ascii="Arial" w:eastAsia="Arial" w:hAnsi="Arial" w:cs="Arial"/>
        </w:rPr>
        <w:t>RESOLUCIÓN</w:t>
      </w:r>
      <w:r>
        <w:rPr>
          <w:rFonts w:ascii="Arial" w:eastAsia="Arial" w:hAnsi="Arial" w:cs="Arial"/>
          <w:color w:val="000000"/>
        </w:rPr>
        <w:t xml:space="preserve"> DE DISPUTAS DEL CIP-UCAYALI (en adelante, el Centro) emite la presente directiva con intención de que sea de conocimiento de las partes procesales y árbitros que estén a cargo de un proceso en el Centro. Por tal motivo, se procederá a realizar la explicación bajo los siguientes puntos:</w:t>
      </w:r>
    </w:p>
    <w:p w14:paraId="68F43FF7" w14:textId="77777777" w:rsidR="002E7278" w:rsidRDefault="007B5160">
      <w:pPr>
        <w:numPr>
          <w:ilvl w:val="0"/>
          <w:numId w:val="5"/>
        </w:numPr>
        <w:pBdr>
          <w:top w:val="nil"/>
          <w:left w:val="nil"/>
          <w:bottom w:val="nil"/>
          <w:right w:val="nil"/>
          <w:between w:val="nil"/>
        </w:pBdr>
        <w:tabs>
          <w:tab w:val="left" w:pos="720"/>
        </w:tabs>
        <w:spacing w:before="161"/>
        <w:ind w:left="720" w:hanging="359"/>
        <w:jc w:val="both"/>
        <w:rPr>
          <w:rFonts w:ascii="Arial" w:eastAsia="Arial" w:hAnsi="Arial" w:cs="Arial"/>
        </w:rPr>
      </w:pPr>
      <w:r>
        <w:rPr>
          <w:rFonts w:ascii="Arial" w:eastAsia="Arial" w:hAnsi="Arial" w:cs="Arial"/>
          <w:color w:val="000000"/>
        </w:rPr>
        <w:t>¿En qué consiste una recusación?</w:t>
      </w:r>
    </w:p>
    <w:p w14:paraId="7D46C895" w14:textId="77777777" w:rsidR="002E7278" w:rsidRDefault="002E7278">
      <w:pPr>
        <w:pBdr>
          <w:top w:val="nil"/>
          <w:left w:val="nil"/>
          <w:bottom w:val="nil"/>
          <w:right w:val="nil"/>
          <w:between w:val="nil"/>
        </w:pBdr>
        <w:spacing w:before="45"/>
        <w:rPr>
          <w:rFonts w:ascii="Arial" w:eastAsia="Arial" w:hAnsi="Arial" w:cs="Arial"/>
          <w:color w:val="000000"/>
        </w:rPr>
      </w:pPr>
    </w:p>
    <w:p w14:paraId="1F8A04E0" w14:textId="77777777" w:rsidR="002E7278" w:rsidRDefault="007B5160">
      <w:pPr>
        <w:numPr>
          <w:ilvl w:val="0"/>
          <w:numId w:val="5"/>
        </w:numPr>
        <w:pBdr>
          <w:top w:val="nil"/>
          <w:left w:val="nil"/>
          <w:bottom w:val="nil"/>
          <w:right w:val="nil"/>
          <w:between w:val="nil"/>
        </w:pBdr>
        <w:tabs>
          <w:tab w:val="left" w:pos="720"/>
        </w:tabs>
        <w:spacing w:before="1"/>
        <w:ind w:left="720" w:hanging="359"/>
        <w:jc w:val="both"/>
        <w:rPr>
          <w:rFonts w:ascii="Arial" w:eastAsia="Arial" w:hAnsi="Arial" w:cs="Arial"/>
        </w:rPr>
      </w:pPr>
      <w:r>
        <w:rPr>
          <w:rFonts w:ascii="Arial" w:eastAsia="Arial" w:hAnsi="Arial" w:cs="Arial"/>
          <w:color w:val="000000"/>
        </w:rPr>
        <w:t>¿Existe un plazo para recusar a un árbitro?</w:t>
      </w:r>
    </w:p>
    <w:p w14:paraId="0CE9CBE3" w14:textId="77777777" w:rsidR="002E7278" w:rsidRDefault="002E7278">
      <w:pPr>
        <w:pBdr>
          <w:top w:val="nil"/>
          <w:left w:val="nil"/>
          <w:bottom w:val="nil"/>
          <w:right w:val="nil"/>
          <w:between w:val="nil"/>
        </w:pBdr>
        <w:spacing w:before="47"/>
        <w:rPr>
          <w:rFonts w:ascii="Arial" w:eastAsia="Arial" w:hAnsi="Arial" w:cs="Arial"/>
          <w:color w:val="000000"/>
        </w:rPr>
      </w:pPr>
    </w:p>
    <w:p w14:paraId="003F7406" w14:textId="77777777" w:rsidR="002E7278" w:rsidRDefault="007B5160">
      <w:pPr>
        <w:numPr>
          <w:ilvl w:val="0"/>
          <w:numId w:val="5"/>
        </w:numPr>
        <w:pBdr>
          <w:top w:val="nil"/>
          <w:left w:val="nil"/>
          <w:bottom w:val="nil"/>
          <w:right w:val="nil"/>
          <w:between w:val="nil"/>
        </w:pBdr>
        <w:tabs>
          <w:tab w:val="left" w:pos="720"/>
        </w:tabs>
        <w:spacing w:before="1"/>
        <w:ind w:left="720" w:hanging="359"/>
        <w:jc w:val="both"/>
        <w:rPr>
          <w:rFonts w:ascii="Arial" w:eastAsia="Arial" w:hAnsi="Arial" w:cs="Arial"/>
        </w:rPr>
      </w:pPr>
      <w:r>
        <w:rPr>
          <w:rFonts w:ascii="Arial" w:eastAsia="Arial" w:hAnsi="Arial" w:cs="Arial"/>
          <w:color w:val="000000"/>
        </w:rPr>
        <w:t>¿Cómo iniciar una recusación?</w:t>
      </w:r>
    </w:p>
    <w:p w14:paraId="1D52B245" w14:textId="77777777" w:rsidR="002E7278" w:rsidRDefault="002E7278">
      <w:pPr>
        <w:pBdr>
          <w:top w:val="nil"/>
          <w:left w:val="nil"/>
          <w:bottom w:val="nil"/>
          <w:right w:val="nil"/>
          <w:between w:val="nil"/>
        </w:pBdr>
        <w:spacing w:before="50"/>
        <w:rPr>
          <w:rFonts w:ascii="Arial" w:eastAsia="Arial" w:hAnsi="Arial" w:cs="Arial"/>
          <w:color w:val="000000"/>
        </w:rPr>
      </w:pPr>
    </w:p>
    <w:p w14:paraId="088DBB5E" w14:textId="77777777" w:rsidR="002E7278" w:rsidRDefault="007B5160">
      <w:pPr>
        <w:pStyle w:val="Ttulo1"/>
        <w:numPr>
          <w:ilvl w:val="0"/>
          <w:numId w:val="4"/>
        </w:numPr>
        <w:tabs>
          <w:tab w:val="left" w:pos="1081"/>
        </w:tabs>
        <w:ind w:left="1081"/>
        <w:rPr>
          <w:rFonts w:ascii="Arial" w:eastAsia="Arial" w:hAnsi="Arial" w:cs="Arial"/>
          <w:color w:val="916F41"/>
          <w:u w:val="none"/>
        </w:rPr>
      </w:pPr>
      <w:r>
        <w:rPr>
          <w:rFonts w:ascii="Arial" w:eastAsia="Arial" w:hAnsi="Arial" w:cs="Arial"/>
          <w:color w:val="916F41"/>
        </w:rPr>
        <w:t>¿EN QUÉ CONSISTE UNA RECUSACIÓN?</w:t>
      </w:r>
    </w:p>
    <w:p w14:paraId="4059ACC9" w14:textId="77777777" w:rsidR="002E7278" w:rsidRDefault="002E7278">
      <w:pPr>
        <w:pBdr>
          <w:top w:val="nil"/>
          <w:left w:val="nil"/>
          <w:bottom w:val="nil"/>
          <w:right w:val="nil"/>
          <w:between w:val="nil"/>
        </w:pBdr>
        <w:spacing w:before="41"/>
        <w:rPr>
          <w:rFonts w:ascii="Arial" w:eastAsia="Arial" w:hAnsi="Arial" w:cs="Arial"/>
          <w:b/>
          <w:color w:val="000000"/>
        </w:rPr>
      </w:pPr>
    </w:p>
    <w:p w14:paraId="4B46783B" w14:textId="77777777" w:rsidR="002E7278" w:rsidRDefault="007B5160">
      <w:pPr>
        <w:numPr>
          <w:ilvl w:val="1"/>
          <w:numId w:val="3"/>
        </w:numPr>
        <w:pBdr>
          <w:top w:val="nil"/>
          <w:left w:val="nil"/>
          <w:bottom w:val="nil"/>
          <w:right w:val="nil"/>
          <w:between w:val="nil"/>
        </w:pBdr>
        <w:tabs>
          <w:tab w:val="left" w:pos="718"/>
          <w:tab w:val="left" w:pos="721"/>
        </w:tabs>
        <w:spacing w:before="1" w:line="259" w:lineRule="auto"/>
        <w:ind w:left="721" w:right="133"/>
        <w:jc w:val="both"/>
        <w:rPr>
          <w:rFonts w:ascii="Arial" w:eastAsia="Arial" w:hAnsi="Arial" w:cs="Arial"/>
        </w:rPr>
      </w:pPr>
      <w:r>
        <w:rPr>
          <w:rFonts w:ascii="Arial" w:eastAsia="Arial" w:hAnsi="Arial" w:cs="Arial"/>
          <w:color w:val="000000"/>
        </w:rPr>
        <w:t>La recusación de un árbitro es un proceso legal en el contexto de un arbitraje, mediante el cual una de las partes solicita formalmente la exclusión de un árbitro de su participación en el caso. Esta solicitud surge cuando existe una preocupación válida acerca de la imparcialidad o independencia del árbitro en cuestión. Las razones para recusar a un árbitro pueden abarcar desde conflictos de interés y prejuicios evidentes hasta la carencia de competencia técnica, o cualquier otro motivo que pueda afectar la imparcialidad del árbitro en relación con el caso específico.</w:t>
      </w:r>
    </w:p>
    <w:p w14:paraId="697F47C6" w14:textId="77777777" w:rsidR="002E7278" w:rsidRDefault="002E7278">
      <w:pPr>
        <w:pBdr>
          <w:top w:val="nil"/>
          <w:left w:val="nil"/>
          <w:bottom w:val="nil"/>
          <w:right w:val="nil"/>
          <w:between w:val="nil"/>
        </w:pBdr>
        <w:spacing w:before="22"/>
        <w:rPr>
          <w:rFonts w:ascii="Arial" w:eastAsia="Arial" w:hAnsi="Arial" w:cs="Arial"/>
          <w:color w:val="000000"/>
        </w:rPr>
      </w:pPr>
    </w:p>
    <w:p w14:paraId="52F156B0" w14:textId="77777777" w:rsidR="002E7278" w:rsidRDefault="007B5160">
      <w:pPr>
        <w:numPr>
          <w:ilvl w:val="1"/>
          <w:numId w:val="3"/>
        </w:numPr>
        <w:pBdr>
          <w:top w:val="nil"/>
          <w:left w:val="nil"/>
          <w:bottom w:val="nil"/>
          <w:right w:val="nil"/>
          <w:between w:val="nil"/>
        </w:pBdr>
        <w:tabs>
          <w:tab w:val="left" w:pos="718"/>
          <w:tab w:val="left" w:pos="721"/>
        </w:tabs>
        <w:spacing w:line="259" w:lineRule="auto"/>
        <w:ind w:left="721" w:right="136"/>
        <w:jc w:val="both"/>
        <w:rPr>
          <w:rFonts w:ascii="Arial" w:eastAsia="Arial" w:hAnsi="Arial" w:cs="Arial"/>
        </w:rPr>
      </w:pPr>
      <w:r>
        <w:rPr>
          <w:rFonts w:ascii="Arial" w:eastAsia="Arial" w:hAnsi="Arial" w:cs="Arial"/>
          <w:color w:val="000000"/>
        </w:rPr>
        <w:t>El propósito fundamental de la recusación es asegurar que el proceso arbitral sea equitativo y justo. Esto se logra al brindar a las partes la confianza de que los árbitros designados para resolver la disputa actúan de manera imparcial y objetiva. La decisión sobre la recusación generalmente recae en una autoridad superior de arbitraje o en un tribunal competente, que evalúa las razones presentadas y determina si la solicitud de recusación es justificada.</w:t>
      </w:r>
    </w:p>
    <w:p w14:paraId="0F977D06" w14:textId="77777777" w:rsidR="002E7278" w:rsidRDefault="002E7278">
      <w:pPr>
        <w:pBdr>
          <w:top w:val="nil"/>
          <w:left w:val="nil"/>
          <w:bottom w:val="nil"/>
          <w:right w:val="nil"/>
          <w:between w:val="nil"/>
        </w:pBdr>
        <w:spacing w:before="21"/>
        <w:rPr>
          <w:rFonts w:ascii="Arial" w:eastAsia="Arial" w:hAnsi="Arial" w:cs="Arial"/>
          <w:color w:val="000000"/>
        </w:rPr>
      </w:pPr>
    </w:p>
    <w:p w14:paraId="0E3FB6AE" w14:textId="77777777" w:rsidR="002E7278" w:rsidRPr="00C76A1F" w:rsidRDefault="007B5160">
      <w:pPr>
        <w:numPr>
          <w:ilvl w:val="1"/>
          <w:numId w:val="3"/>
        </w:numPr>
        <w:pBdr>
          <w:top w:val="nil"/>
          <w:left w:val="nil"/>
          <w:bottom w:val="nil"/>
          <w:right w:val="nil"/>
          <w:between w:val="nil"/>
        </w:pBdr>
        <w:tabs>
          <w:tab w:val="left" w:pos="718"/>
          <w:tab w:val="left" w:pos="721"/>
        </w:tabs>
        <w:spacing w:line="259" w:lineRule="auto"/>
        <w:ind w:left="721" w:right="134"/>
        <w:jc w:val="both"/>
        <w:rPr>
          <w:rFonts w:ascii="Arial" w:eastAsia="Arial" w:hAnsi="Arial" w:cs="Arial"/>
        </w:rPr>
      </w:pPr>
      <w:r>
        <w:rPr>
          <w:rFonts w:ascii="Arial" w:eastAsia="Arial" w:hAnsi="Arial" w:cs="Arial"/>
          <w:color w:val="000000"/>
        </w:rPr>
        <w:t>Cabe destacar que el procedimiento de recusación puede variar en función de las leyes y normativas de arbitraje vigentes en cada jurisdicción. Además, las reglas específicas establecidas en el contrato de arbitraje entre las partes también influyen en cómo se lleva a cabo este proceso.</w:t>
      </w:r>
    </w:p>
    <w:p w14:paraId="18174B06" w14:textId="77777777" w:rsidR="00C76A1F" w:rsidRDefault="00C76A1F" w:rsidP="00C76A1F">
      <w:pPr>
        <w:rPr>
          <w:rFonts w:ascii="Arial" w:eastAsia="Arial" w:hAnsi="Arial" w:cs="Arial"/>
          <w:color w:val="000000"/>
        </w:rPr>
      </w:pPr>
    </w:p>
    <w:p w14:paraId="4EE97777" w14:textId="77777777" w:rsidR="002E7278" w:rsidRDefault="007B5160">
      <w:pPr>
        <w:numPr>
          <w:ilvl w:val="1"/>
          <w:numId w:val="3"/>
        </w:numPr>
        <w:pBdr>
          <w:top w:val="nil"/>
          <w:left w:val="nil"/>
          <w:bottom w:val="nil"/>
          <w:right w:val="nil"/>
          <w:between w:val="nil"/>
        </w:pBdr>
        <w:tabs>
          <w:tab w:val="left" w:pos="718"/>
          <w:tab w:val="left" w:pos="721"/>
        </w:tabs>
        <w:spacing w:line="259" w:lineRule="auto"/>
        <w:ind w:left="721" w:right="136"/>
        <w:jc w:val="both"/>
        <w:rPr>
          <w:rFonts w:ascii="Arial" w:eastAsia="Arial" w:hAnsi="Arial" w:cs="Arial"/>
        </w:rPr>
      </w:pPr>
      <w:r>
        <w:rPr>
          <w:rFonts w:ascii="Arial" w:eastAsia="Arial" w:hAnsi="Arial" w:cs="Arial"/>
          <w:color w:val="000000"/>
        </w:rPr>
        <w:t>En el Centro, la recusación de uno o más árbitros es decidido por el Consejo, quien decidirá sobre lo referido a través de una Acta de Consejo Superior de Arbitraje, cuya decisión es definitiva e inimpugnable.</w:t>
      </w:r>
    </w:p>
    <w:p w14:paraId="6D98F8AE" w14:textId="77777777" w:rsidR="002E7278" w:rsidRDefault="002E7278">
      <w:pPr>
        <w:pBdr>
          <w:top w:val="nil"/>
          <w:left w:val="nil"/>
          <w:bottom w:val="nil"/>
          <w:right w:val="nil"/>
          <w:between w:val="nil"/>
        </w:pBdr>
        <w:spacing w:before="22"/>
        <w:rPr>
          <w:rFonts w:ascii="Arial" w:eastAsia="Arial" w:hAnsi="Arial" w:cs="Arial"/>
          <w:color w:val="000000"/>
        </w:rPr>
      </w:pPr>
    </w:p>
    <w:p w14:paraId="20890CFF" w14:textId="722AB427" w:rsidR="002E7278" w:rsidRPr="00C76A1F" w:rsidRDefault="007B5160">
      <w:pPr>
        <w:numPr>
          <w:ilvl w:val="1"/>
          <w:numId w:val="3"/>
        </w:numPr>
        <w:pBdr>
          <w:top w:val="nil"/>
          <w:left w:val="nil"/>
          <w:bottom w:val="nil"/>
          <w:right w:val="nil"/>
          <w:between w:val="nil"/>
        </w:pBdr>
        <w:tabs>
          <w:tab w:val="left" w:pos="718"/>
          <w:tab w:val="left" w:pos="721"/>
        </w:tabs>
        <w:spacing w:line="259" w:lineRule="auto"/>
        <w:ind w:left="721" w:right="136"/>
        <w:jc w:val="both"/>
        <w:rPr>
          <w:rFonts w:ascii="Arial" w:eastAsia="Arial" w:hAnsi="Arial" w:cs="Arial"/>
        </w:rPr>
      </w:pPr>
      <w:r>
        <w:rPr>
          <w:rFonts w:ascii="Arial" w:eastAsia="Arial" w:hAnsi="Arial" w:cs="Arial"/>
          <w:color w:val="000000"/>
        </w:rPr>
        <w:t>Ahora bien, en caso la parte recusante y la no recusante convienen en la recusación o el árbitro renuncia, el Consejo procederá al nombramiento del árbitro sustituto en la misma forma en que correspondía nombrar al árbitro recusado, salvo que exista nombrado un árbitro suplente.</w:t>
      </w:r>
    </w:p>
    <w:p w14:paraId="32272901" w14:textId="77777777" w:rsidR="00C76A1F" w:rsidRDefault="00C76A1F" w:rsidP="00C76A1F">
      <w:pPr>
        <w:pStyle w:val="Prrafodelista"/>
        <w:rPr>
          <w:rFonts w:ascii="Arial" w:eastAsia="Arial" w:hAnsi="Arial" w:cs="Arial"/>
        </w:rPr>
      </w:pPr>
    </w:p>
    <w:p w14:paraId="6B4E33D3" w14:textId="159D5180" w:rsidR="00C76A1F" w:rsidRDefault="00C76A1F" w:rsidP="00C76A1F">
      <w:pPr>
        <w:pBdr>
          <w:top w:val="nil"/>
          <w:left w:val="nil"/>
          <w:bottom w:val="nil"/>
          <w:right w:val="nil"/>
          <w:between w:val="nil"/>
        </w:pBdr>
        <w:tabs>
          <w:tab w:val="left" w:pos="718"/>
          <w:tab w:val="left" w:pos="721"/>
        </w:tabs>
        <w:spacing w:line="259" w:lineRule="auto"/>
        <w:ind w:left="721" w:right="136"/>
        <w:jc w:val="both"/>
        <w:rPr>
          <w:rFonts w:ascii="Arial" w:eastAsia="Arial" w:hAnsi="Arial" w:cs="Arial"/>
        </w:rPr>
      </w:pPr>
    </w:p>
    <w:p w14:paraId="44C447C3" w14:textId="7960CAB6" w:rsidR="002E7278" w:rsidRDefault="002E7278">
      <w:pPr>
        <w:pBdr>
          <w:top w:val="nil"/>
          <w:left w:val="nil"/>
          <w:bottom w:val="nil"/>
          <w:right w:val="nil"/>
          <w:between w:val="nil"/>
        </w:pBdr>
        <w:spacing w:before="24"/>
        <w:rPr>
          <w:rFonts w:ascii="Arial" w:eastAsia="Arial" w:hAnsi="Arial" w:cs="Arial"/>
        </w:rPr>
      </w:pPr>
    </w:p>
    <w:p w14:paraId="114D8F5F" w14:textId="77777777" w:rsidR="00C76A1F" w:rsidRDefault="00C76A1F">
      <w:pPr>
        <w:pBdr>
          <w:top w:val="nil"/>
          <w:left w:val="nil"/>
          <w:bottom w:val="nil"/>
          <w:right w:val="nil"/>
          <w:between w:val="nil"/>
        </w:pBdr>
        <w:spacing w:before="24"/>
        <w:rPr>
          <w:rFonts w:ascii="Arial" w:eastAsia="Arial" w:hAnsi="Arial" w:cs="Arial"/>
          <w:color w:val="000000"/>
        </w:rPr>
      </w:pPr>
    </w:p>
    <w:p w14:paraId="3901D55D" w14:textId="77777777" w:rsidR="002E7278" w:rsidRDefault="007B5160">
      <w:pPr>
        <w:numPr>
          <w:ilvl w:val="1"/>
          <w:numId w:val="3"/>
        </w:numPr>
        <w:pBdr>
          <w:top w:val="nil"/>
          <w:left w:val="nil"/>
          <w:bottom w:val="nil"/>
          <w:right w:val="nil"/>
          <w:between w:val="nil"/>
        </w:pBdr>
        <w:tabs>
          <w:tab w:val="left" w:pos="718"/>
          <w:tab w:val="left" w:pos="721"/>
        </w:tabs>
        <w:spacing w:line="259" w:lineRule="auto"/>
        <w:ind w:left="721" w:right="139"/>
        <w:jc w:val="both"/>
        <w:rPr>
          <w:rFonts w:ascii="Arial" w:eastAsia="Arial" w:hAnsi="Arial" w:cs="Arial"/>
        </w:rPr>
      </w:pPr>
      <w:r>
        <w:rPr>
          <w:rFonts w:ascii="Arial" w:eastAsia="Arial" w:hAnsi="Arial" w:cs="Arial"/>
          <w:color w:val="000000"/>
        </w:rPr>
        <w:lastRenderedPageBreak/>
        <w:t>La recusación pendiente de resolución no interrumpe el desarrollo del arbitraje, salvo que el tribunal arbitral, una vez informado de la recusación por la Secretaría General, estime que existen motivos atendibles para ello, en cuyo caso todos los plazos quedan suspendidos. Si se tratase de un arbitraje a cargo de un árbitro único, indefectiblemente se suspenden las actuaciones; lo mismo aplica si se han recusado a dos (2) o tres (3) árbitros.</w:t>
      </w:r>
    </w:p>
    <w:p w14:paraId="16631C3E" w14:textId="77777777" w:rsidR="002E7278" w:rsidRDefault="002E7278">
      <w:pPr>
        <w:pBdr>
          <w:top w:val="nil"/>
          <w:left w:val="nil"/>
          <w:bottom w:val="nil"/>
          <w:right w:val="nil"/>
          <w:between w:val="nil"/>
        </w:pBdr>
        <w:spacing w:before="22"/>
        <w:rPr>
          <w:rFonts w:ascii="Arial" w:eastAsia="Arial" w:hAnsi="Arial" w:cs="Arial"/>
          <w:color w:val="000000"/>
        </w:rPr>
      </w:pPr>
    </w:p>
    <w:p w14:paraId="733F26A0" w14:textId="77777777" w:rsidR="002E7278" w:rsidRDefault="007B5160">
      <w:pPr>
        <w:numPr>
          <w:ilvl w:val="1"/>
          <w:numId w:val="3"/>
        </w:numPr>
        <w:pBdr>
          <w:top w:val="nil"/>
          <w:left w:val="nil"/>
          <w:bottom w:val="nil"/>
          <w:right w:val="nil"/>
          <w:between w:val="nil"/>
        </w:pBdr>
        <w:tabs>
          <w:tab w:val="left" w:pos="718"/>
          <w:tab w:val="left" w:pos="721"/>
        </w:tabs>
        <w:spacing w:line="259" w:lineRule="auto"/>
        <w:ind w:left="721" w:right="137"/>
        <w:jc w:val="both"/>
        <w:rPr>
          <w:rFonts w:ascii="Arial" w:eastAsia="Arial" w:hAnsi="Arial" w:cs="Arial"/>
        </w:rPr>
      </w:pPr>
      <w:r>
        <w:rPr>
          <w:rFonts w:ascii="Arial" w:eastAsia="Arial" w:hAnsi="Arial" w:cs="Arial"/>
          <w:color w:val="000000"/>
        </w:rPr>
        <w:t>De igual forma, no procede interponer recusación cuando haya sido notificada la decisión que señala el plazo para emitir el laudo final. Ni tampoco procede una recusación cuando la parte recusante ha acumulado tres (3) recusaciones que se han declarado infundadas, imposibilitándole la presentación de una nueva recusación.</w:t>
      </w:r>
    </w:p>
    <w:p w14:paraId="58B9B97E" w14:textId="77777777" w:rsidR="002E7278" w:rsidRDefault="002E7278">
      <w:pPr>
        <w:pBdr>
          <w:top w:val="nil"/>
          <w:left w:val="nil"/>
          <w:bottom w:val="nil"/>
          <w:right w:val="nil"/>
          <w:between w:val="nil"/>
        </w:pBdr>
        <w:spacing w:before="22"/>
        <w:rPr>
          <w:rFonts w:ascii="Arial" w:eastAsia="Arial" w:hAnsi="Arial" w:cs="Arial"/>
          <w:color w:val="000000"/>
        </w:rPr>
      </w:pPr>
    </w:p>
    <w:p w14:paraId="680DE9DE" w14:textId="77777777" w:rsidR="002E7278" w:rsidRDefault="007B5160">
      <w:pPr>
        <w:numPr>
          <w:ilvl w:val="1"/>
          <w:numId w:val="3"/>
        </w:numPr>
        <w:pBdr>
          <w:top w:val="nil"/>
          <w:left w:val="nil"/>
          <w:bottom w:val="nil"/>
          <w:right w:val="nil"/>
          <w:between w:val="nil"/>
        </w:pBdr>
        <w:tabs>
          <w:tab w:val="left" w:pos="718"/>
          <w:tab w:val="left" w:pos="721"/>
        </w:tabs>
        <w:spacing w:before="1" w:line="259" w:lineRule="auto"/>
        <w:ind w:left="721" w:right="136"/>
        <w:jc w:val="both"/>
        <w:rPr>
          <w:rFonts w:ascii="Arial" w:eastAsia="Arial" w:hAnsi="Arial" w:cs="Arial"/>
        </w:rPr>
      </w:pPr>
      <w:r>
        <w:rPr>
          <w:rFonts w:ascii="Arial" w:eastAsia="Arial" w:hAnsi="Arial" w:cs="Arial"/>
          <w:color w:val="000000"/>
        </w:rPr>
        <w:t>Finalmente, la renuncia de un árbitro o la aceptación por la otra parte de su cese, no se considerará como una aceptación de las causales invocadas por la recusación. De igual modo, no procede recusación basada en decisiones del tribunal arbitral emitidas durante el transcurso de las actuaciones arbitrales.</w:t>
      </w:r>
    </w:p>
    <w:p w14:paraId="78D1D458" w14:textId="77777777" w:rsidR="002E7278" w:rsidRDefault="002E7278">
      <w:pPr>
        <w:pBdr>
          <w:top w:val="nil"/>
          <w:left w:val="nil"/>
          <w:bottom w:val="nil"/>
          <w:right w:val="nil"/>
          <w:between w:val="nil"/>
        </w:pBdr>
        <w:rPr>
          <w:rFonts w:ascii="Arial" w:eastAsia="Arial" w:hAnsi="Arial" w:cs="Arial"/>
          <w:color w:val="000000"/>
        </w:rPr>
      </w:pPr>
    </w:p>
    <w:p w14:paraId="24CC26FC" w14:textId="77777777" w:rsidR="002E7278" w:rsidRDefault="002E7278">
      <w:pPr>
        <w:pBdr>
          <w:top w:val="nil"/>
          <w:left w:val="nil"/>
          <w:bottom w:val="nil"/>
          <w:right w:val="nil"/>
          <w:between w:val="nil"/>
        </w:pBdr>
        <w:spacing w:before="48"/>
        <w:rPr>
          <w:rFonts w:ascii="Arial" w:eastAsia="Arial" w:hAnsi="Arial" w:cs="Arial"/>
          <w:color w:val="000000"/>
        </w:rPr>
      </w:pPr>
    </w:p>
    <w:p w14:paraId="4700647E" w14:textId="77777777" w:rsidR="002E7278" w:rsidRDefault="007B5160">
      <w:pPr>
        <w:pStyle w:val="Ttulo1"/>
        <w:numPr>
          <w:ilvl w:val="0"/>
          <w:numId w:val="4"/>
        </w:numPr>
        <w:tabs>
          <w:tab w:val="left" w:pos="1081"/>
        </w:tabs>
        <w:ind w:left="1081"/>
        <w:rPr>
          <w:rFonts w:ascii="Arial" w:eastAsia="Arial" w:hAnsi="Arial" w:cs="Arial"/>
          <w:color w:val="916F41"/>
          <w:u w:val="none"/>
        </w:rPr>
      </w:pPr>
      <w:r>
        <w:rPr>
          <w:rFonts w:ascii="Arial" w:eastAsia="Arial" w:hAnsi="Arial" w:cs="Arial"/>
          <w:color w:val="916F41"/>
        </w:rPr>
        <w:t>¿EXISTE UN PLAZO PARA RECUSAR A UN ÁRBITRO?</w:t>
      </w:r>
    </w:p>
    <w:p w14:paraId="751C1288" w14:textId="77777777" w:rsidR="002E7278" w:rsidRDefault="002E7278">
      <w:pPr>
        <w:pBdr>
          <w:top w:val="nil"/>
          <w:left w:val="nil"/>
          <w:bottom w:val="nil"/>
          <w:right w:val="nil"/>
          <w:between w:val="nil"/>
        </w:pBdr>
        <w:spacing w:before="42"/>
        <w:rPr>
          <w:rFonts w:ascii="Arial" w:eastAsia="Arial" w:hAnsi="Arial" w:cs="Arial"/>
          <w:b/>
          <w:color w:val="000000"/>
        </w:rPr>
      </w:pPr>
    </w:p>
    <w:p w14:paraId="50FFE6AA" w14:textId="77777777" w:rsidR="002E7278" w:rsidRDefault="007B5160">
      <w:pPr>
        <w:numPr>
          <w:ilvl w:val="1"/>
          <w:numId w:val="2"/>
        </w:numPr>
        <w:pBdr>
          <w:top w:val="nil"/>
          <w:left w:val="nil"/>
          <w:bottom w:val="nil"/>
          <w:right w:val="nil"/>
          <w:between w:val="nil"/>
        </w:pBdr>
        <w:tabs>
          <w:tab w:val="left" w:pos="718"/>
          <w:tab w:val="left" w:pos="721"/>
        </w:tabs>
        <w:spacing w:line="259" w:lineRule="auto"/>
        <w:ind w:left="721" w:right="134"/>
        <w:jc w:val="both"/>
        <w:rPr>
          <w:rFonts w:ascii="Arial" w:eastAsia="Arial" w:hAnsi="Arial" w:cs="Arial"/>
        </w:rPr>
      </w:pPr>
      <w:r>
        <w:rPr>
          <w:rFonts w:ascii="Arial" w:eastAsia="Arial" w:hAnsi="Arial" w:cs="Arial"/>
          <w:color w:val="000000"/>
        </w:rPr>
        <w:t>La recusación que pretenda presentarse debe ser interpuesta dentro del plazo de cinco (5) días hábiles, contabilizado a partir del día hábil siguiente de notificada la aceptación del árbitro al que se le pretenda recusar.</w:t>
      </w:r>
    </w:p>
    <w:p w14:paraId="0440D9F5" w14:textId="77777777" w:rsidR="002E7278" w:rsidRDefault="002E7278">
      <w:pPr>
        <w:pBdr>
          <w:top w:val="nil"/>
          <w:left w:val="nil"/>
          <w:bottom w:val="nil"/>
          <w:right w:val="nil"/>
          <w:between w:val="nil"/>
        </w:pBdr>
        <w:spacing w:before="24"/>
        <w:rPr>
          <w:rFonts w:ascii="Arial" w:eastAsia="Arial" w:hAnsi="Arial" w:cs="Arial"/>
          <w:color w:val="000000"/>
        </w:rPr>
      </w:pPr>
    </w:p>
    <w:p w14:paraId="7EAE4167" w14:textId="77777777" w:rsidR="002E7278" w:rsidRPr="00C76A1F" w:rsidRDefault="007B5160">
      <w:pPr>
        <w:numPr>
          <w:ilvl w:val="1"/>
          <w:numId w:val="2"/>
        </w:numPr>
        <w:pBdr>
          <w:top w:val="nil"/>
          <w:left w:val="nil"/>
          <w:bottom w:val="nil"/>
          <w:right w:val="nil"/>
          <w:between w:val="nil"/>
        </w:pBdr>
        <w:tabs>
          <w:tab w:val="left" w:pos="718"/>
          <w:tab w:val="left" w:pos="721"/>
        </w:tabs>
        <w:spacing w:line="259" w:lineRule="auto"/>
        <w:ind w:left="721" w:right="135"/>
        <w:jc w:val="both"/>
        <w:rPr>
          <w:rFonts w:ascii="Arial" w:eastAsia="Arial" w:hAnsi="Arial" w:cs="Arial"/>
        </w:rPr>
      </w:pPr>
      <w:r>
        <w:rPr>
          <w:rFonts w:ascii="Arial" w:eastAsia="Arial" w:hAnsi="Arial" w:cs="Arial"/>
          <w:color w:val="000000"/>
        </w:rPr>
        <w:t xml:space="preserve">Otro supuesto para </w:t>
      </w:r>
      <w:r>
        <w:rPr>
          <w:rFonts w:ascii="Arial" w:eastAsia="Arial" w:hAnsi="Arial" w:cs="Arial"/>
        </w:rPr>
        <w:t>recusar a un árbitro</w:t>
      </w:r>
      <w:r>
        <w:rPr>
          <w:rFonts w:ascii="Arial" w:eastAsia="Arial" w:hAnsi="Arial" w:cs="Arial"/>
          <w:color w:val="000000"/>
        </w:rPr>
        <w:t xml:space="preserve"> es haber tomado conocimiento de una situación o situaciones que den lugar a dudas justificadas sobre su independencia o imparcialidad, para lo cual se entiende que no hay un plazo predeterminado.</w:t>
      </w:r>
    </w:p>
    <w:p w14:paraId="4A14323F" w14:textId="77777777" w:rsidR="00C76A1F" w:rsidRDefault="00C76A1F" w:rsidP="00C76A1F">
      <w:pPr>
        <w:rPr>
          <w:rFonts w:ascii="Arial" w:eastAsia="Arial" w:hAnsi="Arial" w:cs="Arial"/>
          <w:color w:val="000000"/>
        </w:rPr>
      </w:pPr>
    </w:p>
    <w:p w14:paraId="716C7227" w14:textId="77777777" w:rsidR="002E7278" w:rsidRDefault="007B5160">
      <w:pPr>
        <w:numPr>
          <w:ilvl w:val="1"/>
          <w:numId w:val="2"/>
        </w:numPr>
        <w:pBdr>
          <w:top w:val="nil"/>
          <w:left w:val="nil"/>
          <w:bottom w:val="nil"/>
          <w:right w:val="nil"/>
          <w:between w:val="nil"/>
        </w:pBdr>
        <w:tabs>
          <w:tab w:val="left" w:pos="718"/>
          <w:tab w:val="left" w:pos="721"/>
        </w:tabs>
        <w:spacing w:line="259" w:lineRule="auto"/>
        <w:ind w:left="721" w:right="135"/>
        <w:jc w:val="both"/>
        <w:rPr>
          <w:rFonts w:ascii="Arial" w:eastAsia="Arial" w:hAnsi="Arial" w:cs="Arial"/>
        </w:rPr>
      </w:pPr>
      <w:r>
        <w:rPr>
          <w:rFonts w:ascii="Arial" w:eastAsia="Arial" w:hAnsi="Arial" w:cs="Arial"/>
          <w:color w:val="000000"/>
        </w:rPr>
        <w:t>Vencido el plazo indicado en el numeral 2.1. y sin existir recusación alguna, se considera que la aceptación del árbitro ha quedado firme.</w:t>
      </w:r>
    </w:p>
    <w:p w14:paraId="686436E7" w14:textId="77777777" w:rsidR="002E7278" w:rsidRDefault="002E7278">
      <w:pPr>
        <w:pBdr>
          <w:top w:val="nil"/>
          <w:left w:val="nil"/>
          <w:bottom w:val="nil"/>
          <w:right w:val="nil"/>
          <w:between w:val="nil"/>
        </w:pBdr>
        <w:rPr>
          <w:rFonts w:ascii="Arial" w:eastAsia="Arial" w:hAnsi="Arial" w:cs="Arial"/>
          <w:color w:val="000000"/>
        </w:rPr>
      </w:pPr>
    </w:p>
    <w:p w14:paraId="679B3C1E" w14:textId="77777777" w:rsidR="002E7278" w:rsidRDefault="002E7278">
      <w:pPr>
        <w:pBdr>
          <w:top w:val="nil"/>
          <w:left w:val="nil"/>
          <w:bottom w:val="nil"/>
          <w:right w:val="nil"/>
          <w:between w:val="nil"/>
        </w:pBdr>
        <w:spacing w:before="45"/>
        <w:rPr>
          <w:rFonts w:ascii="Arial" w:eastAsia="Arial" w:hAnsi="Arial" w:cs="Arial"/>
          <w:color w:val="000000"/>
        </w:rPr>
      </w:pPr>
    </w:p>
    <w:p w14:paraId="495E42EF" w14:textId="77777777" w:rsidR="002E7278" w:rsidRDefault="007B5160">
      <w:pPr>
        <w:pStyle w:val="Ttulo1"/>
        <w:numPr>
          <w:ilvl w:val="0"/>
          <w:numId w:val="4"/>
        </w:numPr>
        <w:tabs>
          <w:tab w:val="left" w:pos="1081"/>
        </w:tabs>
        <w:spacing w:before="1"/>
        <w:ind w:left="1081"/>
        <w:rPr>
          <w:rFonts w:ascii="Arial" w:eastAsia="Arial" w:hAnsi="Arial" w:cs="Arial"/>
          <w:color w:val="916F41"/>
          <w:u w:val="none"/>
        </w:rPr>
      </w:pPr>
      <w:r>
        <w:rPr>
          <w:rFonts w:ascii="Arial" w:eastAsia="Arial" w:hAnsi="Arial" w:cs="Arial"/>
          <w:color w:val="916F41"/>
        </w:rPr>
        <w:t>¿CÓMO INICIAR UNA RECUSACIÓN?</w:t>
      </w:r>
    </w:p>
    <w:p w14:paraId="403AA437" w14:textId="77777777" w:rsidR="002E7278" w:rsidRDefault="002E7278">
      <w:pPr>
        <w:pBdr>
          <w:top w:val="nil"/>
          <w:left w:val="nil"/>
          <w:bottom w:val="nil"/>
          <w:right w:val="nil"/>
          <w:between w:val="nil"/>
        </w:pBdr>
        <w:spacing w:before="63"/>
        <w:rPr>
          <w:rFonts w:ascii="Arial" w:eastAsia="Arial" w:hAnsi="Arial" w:cs="Arial"/>
          <w:b/>
          <w:color w:val="000000"/>
        </w:rPr>
      </w:pPr>
    </w:p>
    <w:p w14:paraId="24BAA035" w14:textId="77777777" w:rsidR="002E7278" w:rsidRDefault="007B5160">
      <w:pPr>
        <w:numPr>
          <w:ilvl w:val="1"/>
          <w:numId w:val="1"/>
        </w:numPr>
        <w:pBdr>
          <w:top w:val="nil"/>
          <w:left w:val="nil"/>
          <w:bottom w:val="nil"/>
          <w:right w:val="nil"/>
          <w:between w:val="nil"/>
        </w:pBdr>
        <w:tabs>
          <w:tab w:val="left" w:pos="718"/>
          <w:tab w:val="left" w:pos="721"/>
        </w:tabs>
        <w:spacing w:line="259" w:lineRule="auto"/>
        <w:ind w:left="721" w:right="135"/>
        <w:jc w:val="both"/>
        <w:rPr>
          <w:rFonts w:ascii="Arial" w:eastAsia="Arial" w:hAnsi="Arial" w:cs="Arial"/>
        </w:rPr>
      </w:pPr>
      <w:r>
        <w:rPr>
          <w:rFonts w:ascii="Arial" w:eastAsia="Arial" w:hAnsi="Arial" w:cs="Arial"/>
          <w:color w:val="000000"/>
        </w:rPr>
        <w:t>La parte que desea plantear una recusación debe ser obediente de lo señalado con anterioridad y, además, en los procedimientos de recusación que se presenten en el marco de un arbitraje, sea cuando se comunica la aceptación del árbitro a las partes o, posteriormente, una vez instalado el mismo, la parte recusante deberá pagar la tasa correspondiente.</w:t>
      </w:r>
    </w:p>
    <w:p w14:paraId="26A0DD02" w14:textId="77777777" w:rsidR="002E7278" w:rsidRDefault="002E7278">
      <w:pPr>
        <w:pBdr>
          <w:top w:val="nil"/>
          <w:left w:val="nil"/>
          <w:bottom w:val="nil"/>
          <w:right w:val="nil"/>
          <w:between w:val="nil"/>
        </w:pBdr>
        <w:spacing w:before="23"/>
        <w:rPr>
          <w:rFonts w:ascii="Arial" w:eastAsia="Arial" w:hAnsi="Arial" w:cs="Arial"/>
          <w:color w:val="000000"/>
        </w:rPr>
      </w:pPr>
    </w:p>
    <w:p w14:paraId="044B61B5" w14:textId="77777777" w:rsidR="002E7278" w:rsidRDefault="007B5160">
      <w:pPr>
        <w:numPr>
          <w:ilvl w:val="1"/>
          <w:numId w:val="1"/>
        </w:numPr>
        <w:pBdr>
          <w:top w:val="nil"/>
          <w:left w:val="nil"/>
          <w:bottom w:val="nil"/>
          <w:right w:val="nil"/>
          <w:between w:val="nil"/>
        </w:pBdr>
        <w:tabs>
          <w:tab w:val="left" w:pos="718"/>
        </w:tabs>
        <w:ind w:left="718" w:hanging="357"/>
        <w:jc w:val="both"/>
        <w:rPr>
          <w:rFonts w:ascii="Arial" w:eastAsia="Arial" w:hAnsi="Arial" w:cs="Arial"/>
        </w:rPr>
      </w:pPr>
      <w:r>
        <w:rPr>
          <w:rFonts w:ascii="Arial" w:eastAsia="Arial" w:hAnsi="Arial" w:cs="Arial"/>
          <w:color w:val="000000"/>
        </w:rPr>
        <w:t>El monto de la tasa es la siguiente:</w:t>
      </w:r>
    </w:p>
    <w:p w14:paraId="5AF01746" w14:textId="77777777" w:rsidR="002E7278" w:rsidRDefault="002E7278">
      <w:pPr>
        <w:pBdr>
          <w:top w:val="nil"/>
          <w:left w:val="nil"/>
          <w:bottom w:val="nil"/>
          <w:right w:val="nil"/>
          <w:between w:val="nil"/>
        </w:pBdr>
        <w:ind w:left="721" w:hanging="360"/>
        <w:jc w:val="both"/>
        <w:rPr>
          <w:rFonts w:ascii="Arial" w:eastAsia="Arial" w:hAnsi="Arial" w:cs="Arial"/>
          <w:color w:val="000000"/>
        </w:rPr>
      </w:pPr>
    </w:p>
    <w:tbl>
      <w:tblPr>
        <w:tblStyle w:val="a0"/>
        <w:tblW w:w="5809" w:type="dxa"/>
        <w:tblInd w:w="1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2905"/>
      </w:tblGrid>
      <w:tr w:rsidR="002E7278" w14:paraId="043217D1" w14:textId="77777777">
        <w:trPr>
          <w:trHeight w:val="499"/>
        </w:trPr>
        <w:tc>
          <w:tcPr>
            <w:tcW w:w="2904" w:type="dxa"/>
          </w:tcPr>
          <w:p w14:paraId="47B9ACF3" w14:textId="77777777" w:rsidR="002E7278" w:rsidRDefault="007B5160">
            <w:pPr>
              <w:tabs>
                <w:tab w:val="left" w:pos="718"/>
              </w:tabs>
              <w:jc w:val="center"/>
              <w:rPr>
                <w:rFonts w:ascii="Arial" w:eastAsia="Arial" w:hAnsi="Arial" w:cs="Arial"/>
                <w:b/>
              </w:rPr>
            </w:pPr>
            <w:r>
              <w:rPr>
                <w:rFonts w:ascii="Arial" w:eastAsia="Arial" w:hAnsi="Arial" w:cs="Arial"/>
                <w:b/>
              </w:rPr>
              <w:t>CONCEPTO</w:t>
            </w:r>
          </w:p>
        </w:tc>
        <w:tc>
          <w:tcPr>
            <w:tcW w:w="2905" w:type="dxa"/>
          </w:tcPr>
          <w:p w14:paraId="392CBBEC" w14:textId="77777777" w:rsidR="002E7278" w:rsidRDefault="007B5160">
            <w:pPr>
              <w:tabs>
                <w:tab w:val="left" w:pos="718"/>
              </w:tabs>
              <w:jc w:val="center"/>
              <w:rPr>
                <w:rFonts w:ascii="Arial" w:eastAsia="Arial" w:hAnsi="Arial" w:cs="Arial"/>
                <w:b/>
              </w:rPr>
            </w:pPr>
            <w:r>
              <w:rPr>
                <w:rFonts w:ascii="Arial" w:eastAsia="Arial" w:hAnsi="Arial" w:cs="Arial"/>
                <w:b/>
              </w:rPr>
              <w:t>MONTO</w:t>
            </w:r>
          </w:p>
        </w:tc>
      </w:tr>
      <w:tr w:rsidR="002E7278" w14:paraId="3EBA1C87" w14:textId="77777777">
        <w:trPr>
          <w:trHeight w:val="407"/>
        </w:trPr>
        <w:tc>
          <w:tcPr>
            <w:tcW w:w="2904" w:type="dxa"/>
          </w:tcPr>
          <w:p w14:paraId="10C8608E" w14:textId="77777777" w:rsidR="002E7278" w:rsidRDefault="007B5160">
            <w:pPr>
              <w:tabs>
                <w:tab w:val="left" w:pos="718"/>
              </w:tabs>
              <w:jc w:val="center"/>
              <w:rPr>
                <w:rFonts w:ascii="Arial" w:eastAsia="Arial" w:hAnsi="Arial" w:cs="Arial"/>
              </w:rPr>
            </w:pPr>
            <w:r>
              <w:rPr>
                <w:rFonts w:ascii="Arial" w:eastAsia="Arial" w:hAnsi="Arial" w:cs="Arial"/>
              </w:rPr>
              <w:t>RECUSACIÓN</w:t>
            </w:r>
          </w:p>
        </w:tc>
        <w:tc>
          <w:tcPr>
            <w:tcW w:w="2905" w:type="dxa"/>
          </w:tcPr>
          <w:p w14:paraId="722CE0D4" w14:textId="77777777" w:rsidR="002E7278" w:rsidRDefault="007B5160">
            <w:pPr>
              <w:tabs>
                <w:tab w:val="left" w:pos="718"/>
              </w:tabs>
              <w:jc w:val="center"/>
              <w:rPr>
                <w:rFonts w:ascii="Arial" w:eastAsia="Arial" w:hAnsi="Arial" w:cs="Arial"/>
              </w:rPr>
            </w:pPr>
            <w:r>
              <w:rPr>
                <w:rFonts w:ascii="Arial" w:eastAsia="Arial" w:hAnsi="Arial" w:cs="Arial"/>
              </w:rPr>
              <w:t>S/.1500.00 + IGV</w:t>
            </w:r>
          </w:p>
        </w:tc>
      </w:tr>
    </w:tbl>
    <w:p w14:paraId="04E53619" w14:textId="52D82046" w:rsidR="002E7278" w:rsidRDefault="002E7278">
      <w:pPr>
        <w:pBdr>
          <w:top w:val="nil"/>
          <w:left w:val="nil"/>
          <w:bottom w:val="nil"/>
          <w:right w:val="nil"/>
          <w:between w:val="nil"/>
        </w:pBdr>
        <w:spacing w:before="241"/>
        <w:rPr>
          <w:rFonts w:ascii="Arial" w:eastAsia="Arial" w:hAnsi="Arial" w:cs="Arial"/>
          <w:color w:val="000000"/>
        </w:rPr>
      </w:pPr>
    </w:p>
    <w:p w14:paraId="485AFF70" w14:textId="77777777" w:rsidR="00C76A1F" w:rsidRDefault="00C76A1F">
      <w:pPr>
        <w:pBdr>
          <w:top w:val="nil"/>
          <w:left w:val="nil"/>
          <w:bottom w:val="nil"/>
          <w:right w:val="nil"/>
          <w:between w:val="nil"/>
        </w:pBdr>
        <w:spacing w:before="241"/>
        <w:rPr>
          <w:rFonts w:ascii="Arial" w:eastAsia="Arial" w:hAnsi="Arial" w:cs="Arial"/>
          <w:color w:val="000000"/>
        </w:rPr>
      </w:pPr>
    </w:p>
    <w:p w14:paraId="68590265" w14:textId="77777777" w:rsidR="002E7278" w:rsidRDefault="007B5160">
      <w:pPr>
        <w:numPr>
          <w:ilvl w:val="1"/>
          <w:numId w:val="1"/>
        </w:numPr>
        <w:pBdr>
          <w:top w:val="nil"/>
          <w:left w:val="nil"/>
          <w:bottom w:val="nil"/>
          <w:right w:val="nil"/>
          <w:between w:val="nil"/>
        </w:pBdr>
        <w:tabs>
          <w:tab w:val="left" w:pos="718"/>
          <w:tab w:val="left" w:pos="721"/>
        </w:tabs>
        <w:spacing w:line="259" w:lineRule="auto"/>
        <w:ind w:left="721" w:right="136"/>
        <w:jc w:val="both"/>
        <w:rPr>
          <w:rFonts w:ascii="Arial" w:eastAsia="Arial" w:hAnsi="Arial" w:cs="Arial"/>
        </w:rPr>
      </w:pPr>
      <w:r>
        <w:rPr>
          <w:rFonts w:ascii="Arial" w:eastAsia="Arial" w:hAnsi="Arial" w:cs="Arial"/>
          <w:color w:val="000000"/>
        </w:rPr>
        <w:lastRenderedPageBreak/>
        <w:t>Al respecto se adjuntan los datos bancarios de CENTRO DE ARBITRAJE, PERITAJE Y JUNTA DE RESOLUCION DE DISPUTAS DEL CIP-UCAYALI en aras de que el pago pueda ser realizado:</w:t>
      </w:r>
    </w:p>
    <w:p w14:paraId="39BDC810" w14:textId="77777777" w:rsidR="002E7278" w:rsidRDefault="002E7278">
      <w:pPr>
        <w:pBdr>
          <w:top w:val="nil"/>
          <w:left w:val="nil"/>
          <w:bottom w:val="nil"/>
          <w:right w:val="nil"/>
          <w:between w:val="nil"/>
        </w:pBdr>
        <w:spacing w:before="160"/>
        <w:rPr>
          <w:rFonts w:ascii="Arial" w:eastAsia="Arial" w:hAnsi="Arial" w:cs="Arial"/>
          <w:color w:val="000000"/>
        </w:rPr>
      </w:pPr>
    </w:p>
    <w:p w14:paraId="3AB96024" w14:textId="77777777" w:rsidR="0095386C" w:rsidRPr="00C76A1F" w:rsidRDefault="0095386C" w:rsidP="0095386C">
      <w:pPr>
        <w:pBdr>
          <w:top w:val="nil"/>
          <w:left w:val="nil"/>
          <w:bottom w:val="nil"/>
          <w:right w:val="nil"/>
          <w:between w:val="nil"/>
        </w:pBdr>
        <w:ind w:left="849" w:right="138"/>
        <w:jc w:val="center"/>
        <w:rPr>
          <w:rFonts w:ascii="Arial" w:eastAsia="Arial" w:hAnsi="Arial" w:cs="Arial"/>
          <w:b/>
          <w:bCs/>
          <w:color w:val="000000"/>
        </w:rPr>
      </w:pPr>
      <w:r w:rsidRPr="00C76A1F">
        <w:rPr>
          <w:rFonts w:ascii="Arial" w:eastAsia="Arial" w:hAnsi="Arial" w:cs="Arial"/>
          <w:b/>
          <w:bCs/>
          <w:color w:val="000000"/>
        </w:rPr>
        <w:t xml:space="preserve">CENTRO DE ARBITRAJE, PERITAJE Y JUNTA DE RESOLUCION DE DISPUTAS DEL CIP - UCAYALI </w:t>
      </w:r>
    </w:p>
    <w:p w14:paraId="74AA0F8E" w14:textId="77777777" w:rsidR="0095386C" w:rsidRPr="00C76A1F" w:rsidRDefault="0095386C" w:rsidP="0095386C">
      <w:pPr>
        <w:pBdr>
          <w:top w:val="nil"/>
          <w:left w:val="nil"/>
          <w:bottom w:val="nil"/>
          <w:right w:val="nil"/>
          <w:between w:val="nil"/>
        </w:pBdr>
        <w:ind w:left="849" w:right="138"/>
        <w:jc w:val="center"/>
        <w:rPr>
          <w:rFonts w:ascii="Arial" w:eastAsia="Arial" w:hAnsi="Arial" w:cs="Arial"/>
          <w:b/>
          <w:bCs/>
          <w:color w:val="000000"/>
        </w:rPr>
      </w:pPr>
      <w:r w:rsidRPr="00C76A1F">
        <w:rPr>
          <w:rFonts w:ascii="Arial" w:eastAsia="Arial" w:hAnsi="Arial" w:cs="Arial"/>
          <w:b/>
          <w:bCs/>
          <w:color w:val="000000"/>
        </w:rPr>
        <w:t>(BBVA)</w:t>
      </w:r>
    </w:p>
    <w:p w14:paraId="3B23A98E" w14:textId="77777777" w:rsidR="0095386C" w:rsidRPr="00C76A1F" w:rsidRDefault="0095386C" w:rsidP="0095386C">
      <w:pPr>
        <w:pBdr>
          <w:top w:val="nil"/>
          <w:left w:val="nil"/>
          <w:bottom w:val="nil"/>
          <w:right w:val="nil"/>
          <w:between w:val="nil"/>
        </w:pBdr>
        <w:ind w:left="849" w:right="138"/>
        <w:jc w:val="center"/>
        <w:rPr>
          <w:rFonts w:ascii="Arial" w:eastAsia="Arial" w:hAnsi="Arial" w:cs="Arial"/>
          <w:b/>
          <w:bCs/>
          <w:color w:val="000000"/>
        </w:rPr>
      </w:pPr>
      <w:r w:rsidRPr="00C76A1F">
        <w:rPr>
          <w:rFonts w:ascii="Arial" w:eastAsia="Arial" w:hAnsi="Arial" w:cs="Arial"/>
          <w:b/>
          <w:bCs/>
          <w:color w:val="000000"/>
        </w:rPr>
        <w:t>CUENTA CORRIENTE: 0011-0306-0100049973</w:t>
      </w:r>
    </w:p>
    <w:p w14:paraId="7CABE812" w14:textId="622C86DF" w:rsidR="002E7278" w:rsidRPr="00C76A1F" w:rsidRDefault="0095386C" w:rsidP="0095386C">
      <w:pPr>
        <w:pBdr>
          <w:top w:val="nil"/>
          <w:left w:val="nil"/>
          <w:bottom w:val="nil"/>
          <w:right w:val="nil"/>
          <w:between w:val="nil"/>
        </w:pBdr>
        <w:ind w:left="849" w:right="138"/>
        <w:jc w:val="center"/>
        <w:rPr>
          <w:rFonts w:ascii="Arial" w:eastAsia="Arial" w:hAnsi="Arial" w:cs="Arial"/>
          <w:b/>
          <w:bCs/>
          <w:color w:val="000000"/>
        </w:rPr>
      </w:pPr>
      <w:r w:rsidRPr="00C76A1F">
        <w:rPr>
          <w:rFonts w:ascii="Arial" w:eastAsia="Arial" w:hAnsi="Arial" w:cs="Arial"/>
          <w:b/>
          <w:bCs/>
          <w:color w:val="000000"/>
        </w:rPr>
        <w:t>CCI: 011-306-000100049973-89</w:t>
      </w:r>
    </w:p>
    <w:p w14:paraId="69F2F905" w14:textId="77777777" w:rsidR="002E7278" w:rsidRDefault="002E7278">
      <w:pPr>
        <w:pBdr>
          <w:top w:val="nil"/>
          <w:left w:val="nil"/>
          <w:bottom w:val="nil"/>
          <w:right w:val="nil"/>
          <w:between w:val="nil"/>
        </w:pBdr>
        <w:spacing w:before="184"/>
        <w:rPr>
          <w:rFonts w:ascii="Arial" w:eastAsia="Arial" w:hAnsi="Arial" w:cs="Arial"/>
          <w:color w:val="000000"/>
        </w:rPr>
      </w:pPr>
    </w:p>
    <w:p w14:paraId="235A815E" w14:textId="77777777" w:rsidR="002E7278" w:rsidRPr="0095386C" w:rsidRDefault="007B5160">
      <w:pPr>
        <w:numPr>
          <w:ilvl w:val="1"/>
          <w:numId w:val="1"/>
        </w:numPr>
        <w:pBdr>
          <w:top w:val="nil"/>
          <w:left w:val="nil"/>
          <w:bottom w:val="nil"/>
          <w:right w:val="nil"/>
          <w:between w:val="nil"/>
        </w:pBdr>
        <w:tabs>
          <w:tab w:val="left" w:pos="718"/>
          <w:tab w:val="left" w:pos="721"/>
        </w:tabs>
        <w:spacing w:before="1" w:line="259" w:lineRule="auto"/>
        <w:ind w:left="721" w:right="133"/>
        <w:jc w:val="both"/>
        <w:rPr>
          <w:rFonts w:ascii="Arial" w:eastAsia="Arial" w:hAnsi="Arial" w:cs="Arial"/>
        </w:rPr>
      </w:pPr>
      <w:r>
        <w:rPr>
          <w:rFonts w:ascii="Arial" w:eastAsia="Arial" w:hAnsi="Arial" w:cs="Arial"/>
          <w:color w:val="000000"/>
        </w:rPr>
        <w:t xml:space="preserve">Se precisa </w:t>
      </w:r>
      <w:r w:rsidR="0095386C">
        <w:rPr>
          <w:rFonts w:ascii="Arial" w:eastAsia="Arial" w:hAnsi="Arial" w:cs="Arial"/>
          <w:color w:val="000000"/>
        </w:rPr>
        <w:t>que,</w:t>
      </w:r>
      <w:r>
        <w:rPr>
          <w:rFonts w:ascii="Arial" w:eastAsia="Arial" w:hAnsi="Arial" w:cs="Arial"/>
          <w:color w:val="000000"/>
        </w:rPr>
        <w:t xml:space="preserve"> de no realizarse el pago, la recusación no será tramitada, debiendo ser observada otorgándosele un plazo de cinco (5) días hábiles a la parte recusante para que cumpla con el pago del monto señalado. Dicho plazo será computado a partir del día hábil siguiente de notificado el documento que señale la observación, a la parte recusante para que cumpla con el pago del monto señalado.</w:t>
      </w:r>
    </w:p>
    <w:p w14:paraId="4457A7E1" w14:textId="77777777" w:rsidR="0095386C" w:rsidRDefault="0095386C" w:rsidP="0095386C">
      <w:pPr>
        <w:rPr>
          <w:rFonts w:ascii="Arial" w:eastAsia="Arial" w:hAnsi="Arial" w:cs="Arial"/>
          <w:color w:val="000000"/>
        </w:rPr>
      </w:pPr>
    </w:p>
    <w:p w14:paraId="4D9D86BC" w14:textId="77777777" w:rsidR="002E7278" w:rsidRDefault="007B5160">
      <w:pPr>
        <w:numPr>
          <w:ilvl w:val="1"/>
          <w:numId w:val="1"/>
        </w:numPr>
        <w:pBdr>
          <w:top w:val="nil"/>
          <w:left w:val="nil"/>
          <w:bottom w:val="nil"/>
          <w:right w:val="nil"/>
          <w:between w:val="nil"/>
        </w:pBdr>
        <w:tabs>
          <w:tab w:val="left" w:pos="718"/>
          <w:tab w:val="left" w:pos="721"/>
        </w:tabs>
        <w:spacing w:line="259" w:lineRule="auto"/>
        <w:ind w:left="721" w:right="138"/>
        <w:jc w:val="both"/>
        <w:rPr>
          <w:rFonts w:ascii="Arial" w:eastAsia="Arial" w:hAnsi="Arial" w:cs="Arial"/>
        </w:rPr>
      </w:pPr>
      <w:r>
        <w:rPr>
          <w:rFonts w:ascii="Arial" w:eastAsia="Arial" w:hAnsi="Arial" w:cs="Arial"/>
          <w:color w:val="000000"/>
        </w:rPr>
        <w:t>Igualmente, se debe señalar que la recusación que se tramite ante el Centro será decidida por el Consejo, quien se valdrá de la realización de una Audiencia Especial de Recusación para que, en virtud de la inmediación, tome mejor conocimiento de la situación que ha generado la interposición de la recusación.</w:t>
      </w:r>
    </w:p>
    <w:p w14:paraId="2F46C2F9" w14:textId="77777777" w:rsidR="002E7278" w:rsidRDefault="002E7278">
      <w:pPr>
        <w:pBdr>
          <w:top w:val="nil"/>
          <w:left w:val="nil"/>
          <w:bottom w:val="nil"/>
          <w:right w:val="nil"/>
          <w:between w:val="nil"/>
        </w:pBdr>
        <w:rPr>
          <w:rFonts w:ascii="Arial" w:eastAsia="Arial" w:hAnsi="Arial" w:cs="Arial"/>
          <w:color w:val="000000"/>
        </w:rPr>
      </w:pPr>
    </w:p>
    <w:p w14:paraId="48B29AC8" w14:textId="77777777" w:rsidR="002E7278" w:rsidRDefault="002E7278">
      <w:pPr>
        <w:pBdr>
          <w:top w:val="nil"/>
          <w:left w:val="nil"/>
          <w:bottom w:val="nil"/>
          <w:right w:val="nil"/>
          <w:between w:val="nil"/>
        </w:pBdr>
        <w:rPr>
          <w:rFonts w:ascii="Arial" w:eastAsia="Arial" w:hAnsi="Arial" w:cs="Arial"/>
          <w:color w:val="000000"/>
        </w:rPr>
      </w:pPr>
    </w:p>
    <w:p w14:paraId="06E8B9B6" w14:textId="77777777" w:rsidR="002E7278" w:rsidRDefault="002E7278">
      <w:pPr>
        <w:pBdr>
          <w:top w:val="nil"/>
          <w:left w:val="nil"/>
          <w:bottom w:val="nil"/>
          <w:right w:val="nil"/>
          <w:between w:val="nil"/>
        </w:pBdr>
        <w:spacing w:before="228"/>
        <w:rPr>
          <w:rFonts w:ascii="Arial" w:eastAsia="Arial" w:hAnsi="Arial" w:cs="Arial"/>
          <w:color w:val="000000"/>
        </w:rPr>
      </w:pPr>
    </w:p>
    <w:p w14:paraId="2929206F" w14:textId="77777777" w:rsidR="002E7278" w:rsidRDefault="007B5160">
      <w:pPr>
        <w:pBdr>
          <w:top w:val="nil"/>
          <w:left w:val="nil"/>
          <w:bottom w:val="nil"/>
          <w:right w:val="nil"/>
          <w:between w:val="nil"/>
        </w:pBdr>
        <w:ind w:right="138"/>
        <w:jc w:val="center"/>
        <w:rPr>
          <w:rFonts w:ascii="Arial" w:eastAsia="Arial" w:hAnsi="Arial" w:cs="Arial"/>
          <w:b/>
        </w:rPr>
      </w:pPr>
      <w:r>
        <w:rPr>
          <w:rFonts w:ascii="Arial" w:eastAsia="Arial" w:hAnsi="Arial" w:cs="Arial"/>
          <w:b/>
        </w:rPr>
        <w:t>Consejo Superior de Arbitraje</w:t>
      </w:r>
    </w:p>
    <w:p w14:paraId="29CE0756" w14:textId="77777777" w:rsidR="002E7278" w:rsidRDefault="007B5160">
      <w:pPr>
        <w:pBdr>
          <w:top w:val="nil"/>
          <w:left w:val="nil"/>
          <w:bottom w:val="nil"/>
          <w:right w:val="nil"/>
          <w:between w:val="nil"/>
        </w:pBdr>
        <w:jc w:val="center"/>
        <w:rPr>
          <w:rFonts w:ascii="Arial" w:eastAsia="Arial" w:hAnsi="Arial" w:cs="Arial"/>
          <w:b/>
        </w:rPr>
      </w:pPr>
      <w:r>
        <w:rPr>
          <w:rFonts w:ascii="Arial" w:eastAsia="Arial" w:hAnsi="Arial" w:cs="Arial"/>
          <w:b/>
        </w:rPr>
        <w:t>CENTRO DE ARBITRAJE, PERITAJE Y JUNTA DE RESOLUCION DE DISPUTAS DEL CIP-UCAYALI</w:t>
      </w:r>
    </w:p>
    <w:p w14:paraId="5FFC2CE1" w14:textId="77777777" w:rsidR="002E7278" w:rsidRDefault="002E7278">
      <w:pPr>
        <w:pBdr>
          <w:top w:val="nil"/>
          <w:left w:val="nil"/>
          <w:bottom w:val="nil"/>
          <w:right w:val="nil"/>
          <w:between w:val="nil"/>
        </w:pBdr>
        <w:spacing w:before="80"/>
        <w:rPr>
          <w:color w:val="000000"/>
        </w:rPr>
      </w:pPr>
    </w:p>
    <w:p w14:paraId="6852AE3E" w14:textId="47C0B79A" w:rsidR="002E7278" w:rsidRDefault="00C76A1F">
      <w:pPr>
        <w:pBdr>
          <w:top w:val="nil"/>
          <w:left w:val="nil"/>
          <w:bottom w:val="nil"/>
          <w:right w:val="nil"/>
          <w:between w:val="nil"/>
        </w:pBdr>
        <w:ind w:right="135"/>
        <w:jc w:val="right"/>
        <w:rPr>
          <w:color w:val="000000"/>
        </w:rPr>
      </w:pPr>
      <w:r>
        <w:rPr>
          <w:color w:val="000000"/>
        </w:rPr>
        <w:t>Pucallpa</w:t>
      </w:r>
      <w:r w:rsidR="007B5160">
        <w:rPr>
          <w:color w:val="000000"/>
        </w:rPr>
        <w:t xml:space="preserve">, </w:t>
      </w:r>
      <w:r>
        <w:rPr>
          <w:color w:val="000000"/>
        </w:rPr>
        <w:t>25</w:t>
      </w:r>
      <w:r w:rsidR="007B5160">
        <w:rPr>
          <w:color w:val="000000"/>
        </w:rPr>
        <w:t xml:space="preserve"> de </w:t>
      </w:r>
      <w:r>
        <w:rPr>
          <w:color w:val="000000"/>
        </w:rPr>
        <w:t>noviembre</w:t>
      </w:r>
      <w:r w:rsidR="007B5160">
        <w:rPr>
          <w:color w:val="000000"/>
        </w:rPr>
        <w:t xml:space="preserve"> de 2025</w:t>
      </w:r>
    </w:p>
    <w:sectPr w:rsidR="002E7278">
      <w:headerReference w:type="default" r:id="rId8"/>
      <w:pgSz w:w="11910" w:h="16850"/>
      <w:pgMar w:top="2420" w:right="1417" w:bottom="280" w:left="1700" w:header="7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0047" w14:textId="77777777" w:rsidR="008D76EA" w:rsidRDefault="008D76EA">
      <w:r>
        <w:separator/>
      </w:r>
    </w:p>
  </w:endnote>
  <w:endnote w:type="continuationSeparator" w:id="0">
    <w:p w14:paraId="65F9E0E0" w14:textId="77777777" w:rsidR="008D76EA" w:rsidRDefault="008D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rima">
    <w:panose1 w:val="02000000000000000000"/>
    <w:charset w:val="00"/>
    <w:family w:val="auto"/>
    <w:pitch w:val="variable"/>
    <w:sig w:usb0="A000005F" w:usb1="02000041" w:usb2="00000800" w:usb3="00000000" w:csb0="00000093"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6526" w14:textId="77777777" w:rsidR="008D76EA" w:rsidRDefault="008D76EA">
      <w:r>
        <w:separator/>
      </w:r>
    </w:p>
  </w:footnote>
  <w:footnote w:type="continuationSeparator" w:id="0">
    <w:p w14:paraId="6839EAC0" w14:textId="77777777" w:rsidR="008D76EA" w:rsidRDefault="008D7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9538" w14:textId="77777777" w:rsidR="002E7278" w:rsidRDefault="007B5160">
    <w:pPr>
      <w:spacing w:line="14" w:lineRule="auto"/>
      <w:rPr>
        <w:color w:val="000000"/>
        <w:sz w:val="20"/>
        <w:szCs w:val="20"/>
      </w:rPr>
    </w:pPr>
    <w:r>
      <w:rPr>
        <w:noProof/>
      </w:rPr>
      <w:drawing>
        <wp:anchor distT="114300" distB="114300" distL="114300" distR="114300" simplePos="0" relativeHeight="251658240" behindDoc="0" locked="0" layoutInCell="1" hidden="0" allowOverlap="1" wp14:anchorId="74BB603F" wp14:editId="536844CD">
          <wp:simplePos x="0" y="0"/>
          <wp:positionH relativeFrom="column">
            <wp:posOffset>4657725</wp:posOffset>
          </wp:positionH>
          <wp:positionV relativeFrom="paragraph">
            <wp:posOffset>-204787</wp:posOffset>
          </wp:positionV>
          <wp:extent cx="1770063" cy="1025234"/>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1439" b="20250"/>
                  <a:stretch>
                    <a:fillRect/>
                  </a:stretch>
                </pic:blipFill>
                <pic:spPr>
                  <a:xfrm>
                    <a:off x="0" y="0"/>
                    <a:ext cx="1770063" cy="10252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F2B"/>
    <w:multiLevelType w:val="multilevel"/>
    <w:tmpl w:val="4CFCEFF2"/>
    <w:lvl w:ilvl="0">
      <w:start w:val="3"/>
      <w:numFmt w:val="decimal"/>
      <w:lvlText w:val="%1"/>
      <w:lvlJc w:val="left"/>
      <w:pPr>
        <w:ind w:left="722" w:hanging="360"/>
      </w:pPr>
    </w:lvl>
    <w:lvl w:ilvl="1">
      <w:start w:val="1"/>
      <w:numFmt w:val="decimal"/>
      <w:lvlText w:val="%1.%2."/>
      <w:lvlJc w:val="left"/>
      <w:pPr>
        <w:ind w:left="722" w:hanging="360"/>
      </w:pPr>
      <w:rPr>
        <w:rFonts w:ascii="Ebrima" w:eastAsia="Ebrima" w:hAnsi="Ebrima" w:cs="Ebrima"/>
        <w:b w:val="0"/>
        <w:i w:val="0"/>
        <w:sz w:val="22"/>
        <w:szCs w:val="22"/>
      </w:rPr>
    </w:lvl>
    <w:lvl w:ilvl="2">
      <w:numFmt w:val="bullet"/>
      <w:lvlText w:val="•"/>
      <w:lvlJc w:val="left"/>
      <w:pPr>
        <w:ind w:left="2333" w:hanging="360"/>
      </w:pPr>
    </w:lvl>
    <w:lvl w:ilvl="3">
      <w:numFmt w:val="bullet"/>
      <w:lvlText w:val="•"/>
      <w:lvlJc w:val="left"/>
      <w:pPr>
        <w:ind w:left="3140" w:hanging="360"/>
      </w:pPr>
    </w:lvl>
    <w:lvl w:ilvl="4">
      <w:numFmt w:val="bullet"/>
      <w:lvlText w:val="•"/>
      <w:lvlJc w:val="left"/>
      <w:pPr>
        <w:ind w:left="3947" w:hanging="360"/>
      </w:pPr>
    </w:lvl>
    <w:lvl w:ilvl="5">
      <w:numFmt w:val="bullet"/>
      <w:lvlText w:val="•"/>
      <w:lvlJc w:val="left"/>
      <w:pPr>
        <w:ind w:left="4754" w:hanging="360"/>
      </w:pPr>
    </w:lvl>
    <w:lvl w:ilvl="6">
      <w:numFmt w:val="bullet"/>
      <w:lvlText w:val="•"/>
      <w:lvlJc w:val="left"/>
      <w:pPr>
        <w:ind w:left="5561" w:hanging="360"/>
      </w:pPr>
    </w:lvl>
    <w:lvl w:ilvl="7">
      <w:numFmt w:val="bullet"/>
      <w:lvlText w:val="•"/>
      <w:lvlJc w:val="left"/>
      <w:pPr>
        <w:ind w:left="6368" w:hanging="360"/>
      </w:pPr>
    </w:lvl>
    <w:lvl w:ilvl="8">
      <w:numFmt w:val="bullet"/>
      <w:lvlText w:val="•"/>
      <w:lvlJc w:val="left"/>
      <w:pPr>
        <w:ind w:left="7175" w:hanging="360"/>
      </w:pPr>
    </w:lvl>
  </w:abstractNum>
  <w:abstractNum w:abstractNumId="1" w15:restartNumberingAfterBreak="0">
    <w:nsid w:val="1A8B6CB1"/>
    <w:multiLevelType w:val="multilevel"/>
    <w:tmpl w:val="31224FEE"/>
    <w:lvl w:ilvl="0">
      <w:start w:val="1"/>
      <w:numFmt w:val="decimal"/>
      <w:lvlText w:val="%1"/>
      <w:lvlJc w:val="left"/>
      <w:pPr>
        <w:ind w:left="722" w:hanging="360"/>
      </w:pPr>
    </w:lvl>
    <w:lvl w:ilvl="1">
      <w:start w:val="1"/>
      <w:numFmt w:val="decimal"/>
      <w:lvlText w:val="%1.%2."/>
      <w:lvlJc w:val="left"/>
      <w:pPr>
        <w:ind w:left="722" w:hanging="360"/>
      </w:pPr>
      <w:rPr>
        <w:rFonts w:ascii="Ebrima" w:eastAsia="Ebrima" w:hAnsi="Ebrima" w:cs="Ebrima"/>
        <w:b w:val="0"/>
        <w:i w:val="0"/>
        <w:sz w:val="22"/>
        <w:szCs w:val="22"/>
      </w:rPr>
    </w:lvl>
    <w:lvl w:ilvl="2">
      <w:numFmt w:val="bullet"/>
      <w:lvlText w:val="•"/>
      <w:lvlJc w:val="left"/>
      <w:pPr>
        <w:ind w:left="2333" w:hanging="360"/>
      </w:pPr>
    </w:lvl>
    <w:lvl w:ilvl="3">
      <w:numFmt w:val="bullet"/>
      <w:lvlText w:val="•"/>
      <w:lvlJc w:val="left"/>
      <w:pPr>
        <w:ind w:left="3140" w:hanging="360"/>
      </w:pPr>
    </w:lvl>
    <w:lvl w:ilvl="4">
      <w:numFmt w:val="bullet"/>
      <w:lvlText w:val="•"/>
      <w:lvlJc w:val="left"/>
      <w:pPr>
        <w:ind w:left="3947" w:hanging="360"/>
      </w:pPr>
    </w:lvl>
    <w:lvl w:ilvl="5">
      <w:numFmt w:val="bullet"/>
      <w:lvlText w:val="•"/>
      <w:lvlJc w:val="left"/>
      <w:pPr>
        <w:ind w:left="4754" w:hanging="360"/>
      </w:pPr>
    </w:lvl>
    <w:lvl w:ilvl="6">
      <w:numFmt w:val="bullet"/>
      <w:lvlText w:val="•"/>
      <w:lvlJc w:val="left"/>
      <w:pPr>
        <w:ind w:left="5561" w:hanging="360"/>
      </w:pPr>
    </w:lvl>
    <w:lvl w:ilvl="7">
      <w:numFmt w:val="bullet"/>
      <w:lvlText w:val="•"/>
      <w:lvlJc w:val="left"/>
      <w:pPr>
        <w:ind w:left="6368" w:hanging="360"/>
      </w:pPr>
    </w:lvl>
    <w:lvl w:ilvl="8">
      <w:numFmt w:val="bullet"/>
      <w:lvlText w:val="•"/>
      <w:lvlJc w:val="left"/>
      <w:pPr>
        <w:ind w:left="7175" w:hanging="360"/>
      </w:pPr>
    </w:lvl>
  </w:abstractNum>
  <w:abstractNum w:abstractNumId="2" w15:restartNumberingAfterBreak="0">
    <w:nsid w:val="52136D2F"/>
    <w:multiLevelType w:val="multilevel"/>
    <w:tmpl w:val="D67E3EDA"/>
    <w:lvl w:ilvl="0">
      <w:numFmt w:val="bullet"/>
      <w:lvlText w:val="●"/>
      <w:lvlJc w:val="left"/>
      <w:pPr>
        <w:ind w:left="722" w:hanging="360"/>
      </w:pPr>
      <w:rPr>
        <w:rFonts w:ascii="Noto Sans Symbols" w:eastAsia="Noto Sans Symbols" w:hAnsi="Noto Sans Symbols" w:cs="Noto Sans Symbols"/>
        <w:b w:val="0"/>
        <w:i w:val="0"/>
        <w:sz w:val="22"/>
        <w:szCs w:val="22"/>
      </w:rPr>
    </w:lvl>
    <w:lvl w:ilvl="1">
      <w:numFmt w:val="bullet"/>
      <w:lvlText w:val="•"/>
      <w:lvlJc w:val="left"/>
      <w:pPr>
        <w:ind w:left="1526" w:hanging="360"/>
      </w:pPr>
    </w:lvl>
    <w:lvl w:ilvl="2">
      <w:numFmt w:val="bullet"/>
      <w:lvlText w:val="•"/>
      <w:lvlJc w:val="left"/>
      <w:pPr>
        <w:ind w:left="2333" w:hanging="360"/>
      </w:pPr>
    </w:lvl>
    <w:lvl w:ilvl="3">
      <w:numFmt w:val="bullet"/>
      <w:lvlText w:val="•"/>
      <w:lvlJc w:val="left"/>
      <w:pPr>
        <w:ind w:left="3140" w:hanging="360"/>
      </w:pPr>
    </w:lvl>
    <w:lvl w:ilvl="4">
      <w:numFmt w:val="bullet"/>
      <w:lvlText w:val="•"/>
      <w:lvlJc w:val="left"/>
      <w:pPr>
        <w:ind w:left="3947" w:hanging="360"/>
      </w:pPr>
    </w:lvl>
    <w:lvl w:ilvl="5">
      <w:numFmt w:val="bullet"/>
      <w:lvlText w:val="•"/>
      <w:lvlJc w:val="left"/>
      <w:pPr>
        <w:ind w:left="4754" w:hanging="360"/>
      </w:pPr>
    </w:lvl>
    <w:lvl w:ilvl="6">
      <w:numFmt w:val="bullet"/>
      <w:lvlText w:val="•"/>
      <w:lvlJc w:val="left"/>
      <w:pPr>
        <w:ind w:left="5561" w:hanging="360"/>
      </w:pPr>
    </w:lvl>
    <w:lvl w:ilvl="7">
      <w:numFmt w:val="bullet"/>
      <w:lvlText w:val="•"/>
      <w:lvlJc w:val="left"/>
      <w:pPr>
        <w:ind w:left="6368" w:hanging="360"/>
      </w:pPr>
    </w:lvl>
    <w:lvl w:ilvl="8">
      <w:numFmt w:val="bullet"/>
      <w:lvlText w:val="•"/>
      <w:lvlJc w:val="left"/>
      <w:pPr>
        <w:ind w:left="7175" w:hanging="360"/>
      </w:pPr>
    </w:lvl>
  </w:abstractNum>
  <w:abstractNum w:abstractNumId="3" w15:restartNumberingAfterBreak="0">
    <w:nsid w:val="5CAB5237"/>
    <w:multiLevelType w:val="multilevel"/>
    <w:tmpl w:val="AFAE289C"/>
    <w:lvl w:ilvl="0">
      <w:start w:val="2"/>
      <w:numFmt w:val="decimal"/>
      <w:lvlText w:val="%1"/>
      <w:lvlJc w:val="left"/>
      <w:pPr>
        <w:ind w:left="722" w:hanging="360"/>
      </w:pPr>
    </w:lvl>
    <w:lvl w:ilvl="1">
      <w:start w:val="1"/>
      <w:numFmt w:val="decimal"/>
      <w:lvlText w:val="%1.%2."/>
      <w:lvlJc w:val="left"/>
      <w:pPr>
        <w:ind w:left="722" w:hanging="360"/>
      </w:pPr>
      <w:rPr>
        <w:rFonts w:ascii="Ebrima" w:eastAsia="Ebrima" w:hAnsi="Ebrima" w:cs="Ebrima"/>
        <w:b w:val="0"/>
        <w:i w:val="0"/>
        <w:sz w:val="22"/>
        <w:szCs w:val="22"/>
      </w:rPr>
    </w:lvl>
    <w:lvl w:ilvl="2">
      <w:numFmt w:val="bullet"/>
      <w:lvlText w:val="•"/>
      <w:lvlJc w:val="left"/>
      <w:pPr>
        <w:ind w:left="2333" w:hanging="360"/>
      </w:pPr>
    </w:lvl>
    <w:lvl w:ilvl="3">
      <w:numFmt w:val="bullet"/>
      <w:lvlText w:val="•"/>
      <w:lvlJc w:val="left"/>
      <w:pPr>
        <w:ind w:left="3140" w:hanging="360"/>
      </w:pPr>
    </w:lvl>
    <w:lvl w:ilvl="4">
      <w:numFmt w:val="bullet"/>
      <w:lvlText w:val="•"/>
      <w:lvlJc w:val="left"/>
      <w:pPr>
        <w:ind w:left="3947" w:hanging="360"/>
      </w:pPr>
    </w:lvl>
    <w:lvl w:ilvl="5">
      <w:numFmt w:val="bullet"/>
      <w:lvlText w:val="•"/>
      <w:lvlJc w:val="left"/>
      <w:pPr>
        <w:ind w:left="4754" w:hanging="360"/>
      </w:pPr>
    </w:lvl>
    <w:lvl w:ilvl="6">
      <w:numFmt w:val="bullet"/>
      <w:lvlText w:val="•"/>
      <w:lvlJc w:val="left"/>
      <w:pPr>
        <w:ind w:left="5561" w:hanging="360"/>
      </w:pPr>
    </w:lvl>
    <w:lvl w:ilvl="7">
      <w:numFmt w:val="bullet"/>
      <w:lvlText w:val="•"/>
      <w:lvlJc w:val="left"/>
      <w:pPr>
        <w:ind w:left="6368" w:hanging="360"/>
      </w:pPr>
    </w:lvl>
    <w:lvl w:ilvl="8">
      <w:numFmt w:val="bullet"/>
      <w:lvlText w:val="•"/>
      <w:lvlJc w:val="left"/>
      <w:pPr>
        <w:ind w:left="7175" w:hanging="360"/>
      </w:pPr>
    </w:lvl>
  </w:abstractNum>
  <w:abstractNum w:abstractNumId="4" w15:restartNumberingAfterBreak="0">
    <w:nsid w:val="646F4732"/>
    <w:multiLevelType w:val="multilevel"/>
    <w:tmpl w:val="09AA2556"/>
    <w:lvl w:ilvl="0">
      <w:start w:val="1"/>
      <w:numFmt w:val="upperRoman"/>
      <w:lvlText w:val="%1."/>
      <w:lvlJc w:val="left"/>
      <w:pPr>
        <w:ind w:left="1082" w:hanging="720"/>
      </w:pPr>
      <w:rPr>
        <w:rFonts w:ascii="Ebrima" w:eastAsia="Ebrima" w:hAnsi="Ebrima" w:cs="Ebrima"/>
        <w:b/>
        <w:i w:val="0"/>
        <w:sz w:val="22"/>
        <w:szCs w:val="22"/>
      </w:rPr>
    </w:lvl>
    <w:lvl w:ilvl="1">
      <w:numFmt w:val="bullet"/>
      <w:lvlText w:val="•"/>
      <w:lvlJc w:val="left"/>
      <w:pPr>
        <w:ind w:left="1850" w:hanging="720"/>
      </w:pPr>
    </w:lvl>
    <w:lvl w:ilvl="2">
      <w:numFmt w:val="bullet"/>
      <w:lvlText w:val="•"/>
      <w:lvlJc w:val="left"/>
      <w:pPr>
        <w:ind w:left="2621" w:hanging="718"/>
      </w:pPr>
    </w:lvl>
    <w:lvl w:ilvl="3">
      <w:numFmt w:val="bullet"/>
      <w:lvlText w:val="•"/>
      <w:lvlJc w:val="left"/>
      <w:pPr>
        <w:ind w:left="3392" w:hanging="720"/>
      </w:pPr>
    </w:lvl>
    <w:lvl w:ilvl="4">
      <w:numFmt w:val="bullet"/>
      <w:lvlText w:val="•"/>
      <w:lvlJc w:val="left"/>
      <w:pPr>
        <w:ind w:left="4163" w:hanging="720"/>
      </w:pPr>
    </w:lvl>
    <w:lvl w:ilvl="5">
      <w:numFmt w:val="bullet"/>
      <w:lvlText w:val="•"/>
      <w:lvlJc w:val="left"/>
      <w:pPr>
        <w:ind w:left="4934" w:hanging="720"/>
      </w:pPr>
    </w:lvl>
    <w:lvl w:ilvl="6">
      <w:numFmt w:val="bullet"/>
      <w:lvlText w:val="•"/>
      <w:lvlJc w:val="left"/>
      <w:pPr>
        <w:ind w:left="5705" w:hanging="720"/>
      </w:pPr>
    </w:lvl>
    <w:lvl w:ilvl="7">
      <w:numFmt w:val="bullet"/>
      <w:lvlText w:val="•"/>
      <w:lvlJc w:val="left"/>
      <w:pPr>
        <w:ind w:left="6476" w:hanging="720"/>
      </w:pPr>
    </w:lvl>
    <w:lvl w:ilvl="8">
      <w:numFmt w:val="bullet"/>
      <w:lvlText w:val="•"/>
      <w:lvlJc w:val="left"/>
      <w:pPr>
        <w:ind w:left="7247" w:hanging="7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78"/>
    <w:rsid w:val="002E7278"/>
    <w:rsid w:val="007B5160"/>
    <w:rsid w:val="008D76EA"/>
    <w:rsid w:val="0095386C"/>
    <w:rsid w:val="00C76A1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3CBD"/>
  <w15:docId w15:val="{23C5D752-A870-4126-8D9E-F63DB6D9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rima" w:eastAsia="Ebrima" w:hAnsi="Ebrima" w:cs="Ebrima"/>
        <w:sz w:val="22"/>
        <w:szCs w:val="22"/>
        <w:lang w:val="es" w:eastAsia="es-P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081" w:hanging="720"/>
      <w:outlineLvl w:val="0"/>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21"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639F0"/>
    <w:pPr>
      <w:tabs>
        <w:tab w:val="center" w:pos="4252"/>
        <w:tab w:val="right" w:pos="8504"/>
      </w:tabs>
    </w:pPr>
  </w:style>
  <w:style w:type="character" w:customStyle="1" w:styleId="EncabezadoCar">
    <w:name w:val="Encabezado Car"/>
    <w:basedOn w:val="Fuentedeprrafopredeter"/>
    <w:link w:val="Encabezado"/>
    <w:uiPriority w:val="99"/>
    <w:rsid w:val="002639F0"/>
    <w:rPr>
      <w:rFonts w:ascii="Ebrima" w:eastAsia="Ebrima" w:hAnsi="Ebrima" w:cs="Ebrima"/>
      <w:lang w:val="es-ES"/>
    </w:rPr>
  </w:style>
  <w:style w:type="paragraph" w:styleId="Piedepgina">
    <w:name w:val="footer"/>
    <w:basedOn w:val="Normal"/>
    <w:link w:val="PiedepginaCar"/>
    <w:uiPriority w:val="99"/>
    <w:unhideWhenUsed/>
    <w:rsid w:val="002639F0"/>
    <w:pPr>
      <w:tabs>
        <w:tab w:val="center" w:pos="4252"/>
        <w:tab w:val="right" w:pos="8504"/>
      </w:tabs>
    </w:pPr>
  </w:style>
  <w:style w:type="character" w:customStyle="1" w:styleId="PiedepginaCar">
    <w:name w:val="Pie de página Car"/>
    <w:basedOn w:val="Fuentedeprrafopredeter"/>
    <w:link w:val="Piedepgina"/>
    <w:uiPriority w:val="99"/>
    <w:rsid w:val="002639F0"/>
    <w:rPr>
      <w:rFonts w:ascii="Ebrima" w:eastAsia="Ebrima" w:hAnsi="Ebrima" w:cs="Ebrima"/>
      <w:lang w:val="es-ES"/>
    </w:rPr>
  </w:style>
  <w:style w:type="table" w:styleId="Tablaconcuadrcula">
    <w:name w:val="Table Grid"/>
    <w:basedOn w:val="Tablanormal"/>
    <w:uiPriority w:val="39"/>
    <w:rsid w:val="00263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ggyMcDDJ+KiAtYKimHAi7XKhBw==">CgMxLjA4AHIhMW50UDN5VFQwdThJWDA0QXdLSko2N1pHR3pPcE5KX25E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904</Words>
  <Characters>4972</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Reymundo Vilca</dc:creator>
  <cp:lastModifiedBy>Jorge Juvenal</cp:lastModifiedBy>
  <cp:revision>3</cp:revision>
  <dcterms:created xsi:type="dcterms:W3CDTF">2025-12-15T22:32:00Z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2019</vt:lpwstr>
  </property>
  <property fmtid="{D5CDD505-2E9C-101B-9397-08002B2CF9AE}" pid="4" name="LastSaved">
    <vt:filetime>2025-09-10T00:00:00Z</vt:filetime>
  </property>
  <property fmtid="{D5CDD505-2E9C-101B-9397-08002B2CF9AE}" pid="5" name="Producer">
    <vt:lpwstr>Microsoft® Word 2019</vt:lpwstr>
  </property>
</Properties>
</file>