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DE1E7" w14:textId="77777777" w:rsidR="00DB5CF6" w:rsidRDefault="009414A1">
      <w:pPr>
        <w:pStyle w:val="Ttulo"/>
        <w:rPr>
          <w:rFonts w:ascii="Arial" w:eastAsia="Arial" w:hAnsi="Arial" w:cs="Arial"/>
          <w:color w:val="E80303"/>
        </w:rPr>
      </w:pPr>
      <w:r>
        <w:rPr>
          <w:rFonts w:ascii="Arial" w:eastAsia="Arial" w:hAnsi="Arial" w:cs="Arial"/>
          <w:color w:val="E80303"/>
        </w:rPr>
        <w:t>NOTA PRÁCTICA PARA LA REVISIÓN PRESENCIAL DE EXPEDIENTES</w:t>
      </w:r>
    </w:p>
    <w:p w14:paraId="20903163" w14:textId="77777777" w:rsidR="00DB5CF6" w:rsidRDefault="009414A1">
      <w:pPr>
        <w:pBdr>
          <w:top w:val="nil"/>
          <w:left w:val="nil"/>
          <w:bottom w:val="nil"/>
          <w:right w:val="nil"/>
          <w:between w:val="nil"/>
        </w:pBdr>
        <w:spacing w:before="184" w:line="259" w:lineRule="auto"/>
        <w:ind w:left="2" w:right="136"/>
        <w:jc w:val="both"/>
        <w:rPr>
          <w:rFonts w:ascii="Arial" w:eastAsia="Arial" w:hAnsi="Arial" w:cs="Arial"/>
          <w:color w:val="000000"/>
        </w:rPr>
      </w:pPr>
      <w:r>
        <w:rPr>
          <w:rFonts w:ascii="Arial" w:eastAsia="Arial" w:hAnsi="Arial" w:cs="Arial"/>
          <w:color w:val="000000"/>
        </w:rPr>
        <w:t xml:space="preserve">El Consejo Superior de Arbitraje (en adelante, “el Consejo”) de CENTRO DE ARBITRAJE, PERITAJE Y JUNTA DE </w:t>
      </w:r>
      <w:r>
        <w:rPr>
          <w:rFonts w:ascii="Arial" w:eastAsia="Arial" w:hAnsi="Arial" w:cs="Arial"/>
        </w:rPr>
        <w:t>RESOLUCIÓN</w:t>
      </w:r>
      <w:r>
        <w:rPr>
          <w:rFonts w:ascii="Arial" w:eastAsia="Arial" w:hAnsi="Arial" w:cs="Arial"/>
          <w:color w:val="000000"/>
        </w:rPr>
        <w:t xml:space="preserve"> DE DISPUTAS DEL CIP - UCAYALI (en adelante, “el Centro”), emite la presente Nota Práctica en aras de incrementar la eficiencia y celeridad d</w:t>
      </w:r>
      <w:r>
        <w:rPr>
          <w:rFonts w:ascii="Arial" w:eastAsia="Arial" w:hAnsi="Arial" w:cs="Arial"/>
          <w:color w:val="000000"/>
        </w:rPr>
        <w:t>e los arbitrajes administrados por el Centro.</w:t>
      </w:r>
    </w:p>
    <w:p w14:paraId="56C36DF8" w14:textId="77777777" w:rsidR="00DB5CF6" w:rsidRDefault="009414A1">
      <w:pPr>
        <w:numPr>
          <w:ilvl w:val="0"/>
          <w:numId w:val="1"/>
        </w:numPr>
        <w:pBdr>
          <w:top w:val="nil"/>
          <w:left w:val="nil"/>
          <w:bottom w:val="nil"/>
          <w:right w:val="nil"/>
          <w:between w:val="nil"/>
        </w:pBdr>
        <w:tabs>
          <w:tab w:val="left" w:pos="721"/>
        </w:tabs>
        <w:spacing w:before="159" w:line="259" w:lineRule="auto"/>
        <w:ind w:left="721" w:right="137"/>
        <w:jc w:val="both"/>
        <w:rPr>
          <w:rFonts w:ascii="Arial" w:eastAsia="Arial" w:hAnsi="Arial" w:cs="Arial"/>
        </w:rPr>
      </w:pPr>
      <w:r>
        <w:rPr>
          <w:rFonts w:ascii="Arial" w:eastAsia="Arial" w:hAnsi="Arial" w:cs="Arial"/>
          <w:color w:val="000000"/>
        </w:rPr>
        <w:t>Primero, se precisa que las partes procesales tienen el derecho de acceder al expediente para revisarlo de manera física. No se les puede negar el acceso bajo ninguna circunstancia, salvo motivo debidamente jus</w:t>
      </w:r>
      <w:r>
        <w:rPr>
          <w:rFonts w:ascii="Arial" w:eastAsia="Arial" w:hAnsi="Arial" w:cs="Arial"/>
          <w:color w:val="000000"/>
        </w:rPr>
        <w:t>tificado.</w:t>
      </w:r>
    </w:p>
    <w:p w14:paraId="225E961E" w14:textId="77777777" w:rsidR="00DB5CF6" w:rsidRDefault="00DB5CF6">
      <w:pPr>
        <w:pBdr>
          <w:top w:val="nil"/>
          <w:left w:val="nil"/>
          <w:bottom w:val="nil"/>
          <w:right w:val="nil"/>
          <w:between w:val="nil"/>
        </w:pBdr>
        <w:spacing w:before="25"/>
        <w:rPr>
          <w:rFonts w:ascii="Arial" w:eastAsia="Arial" w:hAnsi="Arial" w:cs="Arial"/>
          <w:color w:val="000000"/>
        </w:rPr>
      </w:pPr>
    </w:p>
    <w:p w14:paraId="21B1BA44" w14:textId="77777777" w:rsidR="00DB5CF6" w:rsidRDefault="009414A1">
      <w:pPr>
        <w:numPr>
          <w:ilvl w:val="0"/>
          <w:numId w:val="1"/>
        </w:numPr>
        <w:pBdr>
          <w:top w:val="nil"/>
          <w:left w:val="nil"/>
          <w:bottom w:val="nil"/>
          <w:right w:val="nil"/>
          <w:between w:val="nil"/>
        </w:pBdr>
        <w:tabs>
          <w:tab w:val="left" w:pos="721"/>
        </w:tabs>
        <w:spacing w:line="259" w:lineRule="auto"/>
        <w:ind w:left="721" w:right="135"/>
        <w:jc w:val="both"/>
        <w:rPr>
          <w:rFonts w:ascii="Arial" w:eastAsia="Arial" w:hAnsi="Arial" w:cs="Arial"/>
        </w:rPr>
      </w:pPr>
      <w:r>
        <w:rPr>
          <w:rFonts w:ascii="Arial" w:eastAsia="Arial" w:hAnsi="Arial" w:cs="Arial"/>
          <w:color w:val="000000"/>
        </w:rPr>
        <w:t>Para acceder a la revisión del expediente, la parte que lo solicita debe estar debidamente apersonada al arbitraje con anterioridad al día en que concurra al Centro o en que se comunique con el secretario general del Centro.</w:t>
      </w:r>
    </w:p>
    <w:p w14:paraId="3A43937A" w14:textId="77777777" w:rsidR="00DB5CF6" w:rsidRDefault="00DB5CF6">
      <w:pPr>
        <w:pBdr>
          <w:top w:val="nil"/>
          <w:left w:val="nil"/>
          <w:bottom w:val="nil"/>
          <w:right w:val="nil"/>
          <w:between w:val="nil"/>
        </w:pBdr>
        <w:spacing w:before="22"/>
        <w:rPr>
          <w:rFonts w:ascii="Arial" w:eastAsia="Arial" w:hAnsi="Arial" w:cs="Arial"/>
          <w:color w:val="000000"/>
        </w:rPr>
      </w:pPr>
    </w:p>
    <w:p w14:paraId="4D7D81D1" w14:textId="77777777" w:rsidR="00DB5CF6" w:rsidRDefault="009414A1">
      <w:pPr>
        <w:numPr>
          <w:ilvl w:val="0"/>
          <w:numId w:val="1"/>
        </w:numPr>
        <w:pBdr>
          <w:top w:val="nil"/>
          <w:left w:val="nil"/>
          <w:bottom w:val="nil"/>
          <w:right w:val="nil"/>
          <w:between w:val="nil"/>
        </w:pBdr>
        <w:tabs>
          <w:tab w:val="left" w:pos="721"/>
        </w:tabs>
        <w:spacing w:line="259" w:lineRule="auto"/>
        <w:ind w:left="721" w:right="133"/>
        <w:jc w:val="both"/>
        <w:rPr>
          <w:rFonts w:ascii="Arial" w:eastAsia="Arial" w:hAnsi="Arial" w:cs="Arial"/>
        </w:rPr>
      </w:pPr>
      <w:r>
        <w:rPr>
          <w:rFonts w:ascii="Arial" w:eastAsia="Arial" w:hAnsi="Arial" w:cs="Arial"/>
          <w:color w:val="000000"/>
        </w:rPr>
        <w:t>Si lo consignado en el numeral</w:t>
      </w:r>
      <w:r>
        <w:rPr>
          <w:rFonts w:ascii="Arial" w:eastAsia="Arial" w:hAnsi="Arial" w:cs="Arial"/>
          <w:color w:val="000000"/>
        </w:rPr>
        <w:t xml:space="preserve"> 2 de esta Nota Práctica se cumple, el secretario general deberá agendar una cita para que, de manera presencial, el interesado pueda concurrir a las instalaciones del Centro. La fecha otorgada no podrá exceder de un plazo de tres (03) días hábiles de reci</w:t>
      </w:r>
      <w:r>
        <w:rPr>
          <w:rFonts w:ascii="Arial" w:eastAsia="Arial" w:hAnsi="Arial" w:cs="Arial"/>
          <w:color w:val="000000"/>
        </w:rPr>
        <w:t>bida la solicitud.</w:t>
      </w:r>
    </w:p>
    <w:p w14:paraId="62EA083D" w14:textId="77777777" w:rsidR="00DB5CF6" w:rsidRDefault="00DB5CF6">
      <w:pPr>
        <w:pBdr>
          <w:top w:val="nil"/>
          <w:left w:val="nil"/>
          <w:bottom w:val="nil"/>
          <w:right w:val="nil"/>
          <w:between w:val="nil"/>
        </w:pBdr>
        <w:spacing w:before="24"/>
        <w:rPr>
          <w:rFonts w:ascii="Arial" w:eastAsia="Arial" w:hAnsi="Arial" w:cs="Arial"/>
          <w:color w:val="000000"/>
        </w:rPr>
      </w:pPr>
    </w:p>
    <w:p w14:paraId="474AF9C8" w14:textId="77777777" w:rsidR="00DB5CF6" w:rsidRDefault="009414A1">
      <w:pPr>
        <w:numPr>
          <w:ilvl w:val="0"/>
          <w:numId w:val="1"/>
        </w:numPr>
        <w:pBdr>
          <w:top w:val="nil"/>
          <w:left w:val="nil"/>
          <w:bottom w:val="nil"/>
          <w:right w:val="nil"/>
          <w:between w:val="nil"/>
        </w:pBdr>
        <w:tabs>
          <w:tab w:val="left" w:pos="721"/>
        </w:tabs>
        <w:spacing w:line="259" w:lineRule="auto"/>
        <w:ind w:left="721" w:right="136"/>
        <w:jc w:val="both"/>
        <w:rPr>
          <w:rFonts w:ascii="Arial" w:eastAsia="Arial" w:hAnsi="Arial" w:cs="Arial"/>
        </w:rPr>
      </w:pPr>
      <w:r>
        <w:rPr>
          <w:rFonts w:ascii="Arial" w:eastAsia="Arial" w:hAnsi="Arial" w:cs="Arial"/>
          <w:color w:val="000000"/>
        </w:rPr>
        <w:t>Por último, para que pueda ingresar a las instalaciones del Centro, el solicitante deberá portar un documento que acredite su identificación como parte procesal o representante de la parte interesada.</w:t>
      </w:r>
    </w:p>
    <w:p w14:paraId="225D3D88" w14:textId="77777777" w:rsidR="00DB5CF6" w:rsidRDefault="00DB5CF6">
      <w:pPr>
        <w:pBdr>
          <w:top w:val="nil"/>
          <w:left w:val="nil"/>
          <w:bottom w:val="nil"/>
          <w:right w:val="nil"/>
          <w:between w:val="nil"/>
        </w:pBdr>
        <w:spacing w:before="159"/>
        <w:rPr>
          <w:rFonts w:ascii="Arial" w:eastAsia="Arial" w:hAnsi="Arial" w:cs="Arial"/>
          <w:color w:val="000000"/>
        </w:rPr>
      </w:pPr>
    </w:p>
    <w:p w14:paraId="6E0E5602" w14:textId="77777777" w:rsidR="00DB5CF6" w:rsidRDefault="009414A1">
      <w:pPr>
        <w:numPr>
          <w:ilvl w:val="0"/>
          <w:numId w:val="1"/>
        </w:numPr>
        <w:pBdr>
          <w:top w:val="nil"/>
          <w:left w:val="nil"/>
          <w:bottom w:val="nil"/>
          <w:right w:val="nil"/>
          <w:between w:val="nil"/>
        </w:pBdr>
        <w:tabs>
          <w:tab w:val="left" w:pos="721"/>
        </w:tabs>
        <w:ind w:left="721" w:right="138"/>
        <w:jc w:val="both"/>
        <w:rPr>
          <w:rFonts w:ascii="Arial" w:eastAsia="Arial" w:hAnsi="Arial" w:cs="Arial"/>
        </w:rPr>
      </w:pPr>
      <w:r>
        <w:rPr>
          <w:rFonts w:ascii="Arial" w:eastAsia="Arial" w:hAnsi="Arial" w:cs="Arial"/>
          <w:color w:val="000000"/>
        </w:rPr>
        <w:t>De no cumplirse con lo señalado con anterioridad, no se permitirá el acceso a la revisión del expediente generado con ocasión de la controversia que se haya originado y esté siendo ventilada en un arbitraje administrado por el Centro.</w:t>
      </w:r>
    </w:p>
    <w:p w14:paraId="37066F22" w14:textId="77777777" w:rsidR="00DB5CF6" w:rsidRDefault="00DB5CF6">
      <w:pPr>
        <w:pBdr>
          <w:top w:val="nil"/>
          <w:left w:val="nil"/>
          <w:bottom w:val="nil"/>
          <w:right w:val="nil"/>
          <w:between w:val="nil"/>
        </w:pBdr>
        <w:spacing w:before="183"/>
        <w:rPr>
          <w:rFonts w:ascii="Arial" w:eastAsia="Arial" w:hAnsi="Arial" w:cs="Arial"/>
          <w:color w:val="000000"/>
        </w:rPr>
      </w:pPr>
    </w:p>
    <w:p w14:paraId="0CE22E1E" w14:textId="77777777" w:rsidR="00DB5CF6" w:rsidRDefault="009414A1">
      <w:pPr>
        <w:pBdr>
          <w:top w:val="nil"/>
          <w:left w:val="nil"/>
          <w:bottom w:val="nil"/>
          <w:right w:val="nil"/>
          <w:between w:val="nil"/>
        </w:pBdr>
        <w:ind w:left="2" w:right="140"/>
        <w:jc w:val="center"/>
        <w:rPr>
          <w:rFonts w:ascii="Arial" w:eastAsia="Arial" w:hAnsi="Arial" w:cs="Arial"/>
          <w:b/>
        </w:rPr>
      </w:pPr>
      <w:r>
        <w:rPr>
          <w:rFonts w:ascii="Arial" w:eastAsia="Arial" w:hAnsi="Arial" w:cs="Arial"/>
          <w:b/>
        </w:rPr>
        <w:t xml:space="preserve">Consejo Superior de </w:t>
      </w:r>
      <w:r>
        <w:rPr>
          <w:rFonts w:ascii="Arial" w:eastAsia="Arial" w:hAnsi="Arial" w:cs="Arial"/>
          <w:b/>
        </w:rPr>
        <w:t>Arbitraje</w:t>
      </w:r>
    </w:p>
    <w:p w14:paraId="5C0FE24E" w14:textId="77777777" w:rsidR="00DB5CF6" w:rsidRDefault="009414A1">
      <w:pPr>
        <w:pBdr>
          <w:top w:val="nil"/>
          <w:left w:val="nil"/>
          <w:bottom w:val="nil"/>
          <w:right w:val="nil"/>
          <w:between w:val="nil"/>
        </w:pBdr>
        <w:jc w:val="center"/>
        <w:rPr>
          <w:rFonts w:ascii="Arial" w:eastAsia="Arial" w:hAnsi="Arial" w:cs="Arial"/>
          <w:b/>
        </w:rPr>
      </w:pPr>
      <w:r>
        <w:rPr>
          <w:rFonts w:ascii="Arial" w:eastAsia="Arial" w:hAnsi="Arial" w:cs="Arial"/>
          <w:b/>
        </w:rPr>
        <w:t>CENTRO DE ARBITRAJE, PERITAJE Y JUNTA DE RESOLUCIÓN DE DISPUTAS DEL CIP - UCAYALI</w:t>
      </w:r>
    </w:p>
    <w:p w14:paraId="6869A705" w14:textId="77777777" w:rsidR="00DB5CF6" w:rsidRDefault="00DB5CF6">
      <w:pPr>
        <w:pBdr>
          <w:top w:val="nil"/>
          <w:left w:val="nil"/>
          <w:bottom w:val="nil"/>
          <w:right w:val="nil"/>
          <w:between w:val="nil"/>
        </w:pBdr>
        <w:spacing w:before="159"/>
        <w:rPr>
          <w:rFonts w:ascii="Arial" w:eastAsia="Arial" w:hAnsi="Arial" w:cs="Arial"/>
          <w:color w:val="000000"/>
        </w:rPr>
      </w:pPr>
    </w:p>
    <w:p w14:paraId="38395F1B" w14:textId="0D2B9D47" w:rsidR="00DB5CF6" w:rsidRDefault="009F7D97">
      <w:pPr>
        <w:pBdr>
          <w:top w:val="nil"/>
          <w:left w:val="nil"/>
          <w:bottom w:val="nil"/>
          <w:right w:val="nil"/>
          <w:between w:val="nil"/>
        </w:pBdr>
        <w:ind w:right="135"/>
        <w:jc w:val="right"/>
        <w:rPr>
          <w:rFonts w:ascii="Arial" w:eastAsia="Arial" w:hAnsi="Arial" w:cs="Arial"/>
          <w:color w:val="000000"/>
        </w:rPr>
      </w:pPr>
      <w:r>
        <w:rPr>
          <w:rFonts w:ascii="Arial" w:eastAsia="Arial" w:hAnsi="Arial" w:cs="Arial"/>
          <w:color w:val="000000"/>
        </w:rPr>
        <w:t>Pucallpa</w:t>
      </w:r>
      <w:r w:rsidR="009414A1">
        <w:rPr>
          <w:rFonts w:ascii="Arial" w:eastAsia="Arial" w:hAnsi="Arial" w:cs="Arial"/>
          <w:color w:val="000000"/>
        </w:rPr>
        <w:t xml:space="preserve">, </w:t>
      </w:r>
      <w:r>
        <w:rPr>
          <w:rFonts w:ascii="Arial" w:eastAsia="Arial" w:hAnsi="Arial" w:cs="Arial"/>
          <w:color w:val="000000"/>
        </w:rPr>
        <w:t>25</w:t>
      </w:r>
      <w:r w:rsidR="009414A1">
        <w:rPr>
          <w:rFonts w:ascii="Arial" w:eastAsia="Arial" w:hAnsi="Arial" w:cs="Arial"/>
          <w:color w:val="000000"/>
        </w:rPr>
        <w:t xml:space="preserve"> de </w:t>
      </w:r>
      <w:r>
        <w:rPr>
          <w:rFonts w:ascii="Arial" w:eastAsia="Arial" w:hAnsi="Arial" w:cs="Arial"/>
          <w:color w:val="000000"/>
        </w:rPr>
        <w:t>noviembre</w:t>
      </w:r>
      <w:r w:rsidR="009414A1">
        <w:rPr>
          <w:rFonts w:ascii="Arial" w:eastAsia="Arial" w:hAnsi="Arial" w:cs="Arial"/>
          <w:color w:val="000000"/>
        </w:rPr>
        <w:t xml:space="preserve"> de 202</w:t>
      </w:r>
      <w:r w:rsidR="009414A1">
        <w:rPr>
          <w:rFonts w:ascii="Arial" w:eastAsia="Arial" w:hAnsi="Arial" w:cs="Arial"/>
        </w:rPr>
        <w:t>5</w:t>
      </w:r>
    </w:p>
    <w:p w14:paraId="0C02650E" w14:textId="77777777" w:rsidR="00DB5CF6" w:rsidRDefault="00DB5CF6">
      <w:pPr>
        <w:pBdr>
          <w:top w:val="nil"/>
          <w:left w:val="nil"/>
          <w:bottom w:val="nil"/>
          <w:right w:val="nil"/>
          <w:between w:val="nil"/>
        </w:pBdr>
        <w:ind w:right="135"/>
        <w:jc w:val="right"/>
      </w:pPr>
    </w:p>
    <w:p w14:paraId="52EB802F" w14:textId="77777777" w:rsidR="00DB5CF6" w:rsidRDefault="00DB5CF6">
      <w:pPr>
        <w:spacing w:line="259" w:lineRule="auto"/>
        <w:ind w:right="-6"/>
      </w:pPr>
    </w:p>
    <w:sectPr w:rsidR="00DB5CF6">
      <w:headerReference w:type="default" r:id="rId8"/>
      <w:pgSz w:w="11910" w:h="16850"/>
      <w:pgMar w:top="1842" w:right="1417" w:bottom="280" w:left="17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07682" w14:textId="77777777" w:rsidR="009414A1" w:rsidRDefault="009414A1">
      <w:r>
        <w:separator/>
      </w:r>
    </w:p>
  </w:endnote>
  <w:endnote w:type="continuationSeparator" w:id="0">
    <w:p w14:paraId="6EDD9918" w14:textId="77777777" w:rsidR="009414A1" w:rsidRDefault="00941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brima">
    <w:panose1 w:val="02000000000000000000"/>
    <w:charset w:val="00"/>
    <w:family w:val="auto"/>
    <w:pitch w:val="variable"/>
    <w:sig w:usb0="A000005F" w:usb1="02000041" w:usb2="00000800" w:usb3="00000000" w:csb0="00000093"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92F14" w14:textId="77777777" w:rsidR="009414A1" w:rsidRDefault="009414A1">
      <w:r>
        <w:separator/>
      </w:r>
    </w:p>
  </w:footnote>
  <w:footnote w:type="continuationSeparator" w:id="0">
    <w:p w14:paraId="607B12A4" w14:textId="77777777" w:rsidR="009414A1" w:rsidRDefault="00941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168E9" w14:textId="77777777" w:rsidR="00DB5CF6" w:rsidRDefault="009414A1">
    <w:r>
      <w:rPr>
        <w:noProof/>
      </w:rPr>
      <w:drawing>
        <wp:anchor distT="114300" distB="114300" distL="114300" distR="114300" simplePos="0" relativeHeight="251658240" behindDoc="0" locked="0" layoutInCell="1" hidden="0" allowOverlap="1" wp14:anchorId="031E3903" wp14:editId="397DCA7C">
          <wp:simplePos x="0" y="0"/>
          <wp:positionH relativeFrom="column">
            <wp:posOffset>4678286</wp:posOffset>
          </wp:positionH>
          <wp:positionV relativeFrom="paragraph">
            <wp:posOffset>-333374</wp:posOffset>
          </wp:positionV>
          <wp:extent cx="1684414" cy="9572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2735" b="20461"/>
                  <a:stretch>
                    <a:fillRect/>
                  </a:stretch>
                </pic:blipFill>
                <pic:spPr>
                  <a:xfrm>
                    <a:off x="0" y="0"/>
                    <a:ext cx="1684414" cy="95726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9F2ED9"/>
    <w:multiLevelType w:val="multilevel"/>
    <w:tmpl w:val="0C601674"/>
    <w:lvl w:ilvl="0">
      <w:start w:val="1"/>
      <w:numFmt w:val="decimal"/>
      <w:lvlText w:val="%1."/>
      <w:lvlJc w:val="left"/>
      <w:pPr>
        <w:ind w:left="722" w:hanging="360"/>
      </w:pPr>
      <w:rPr>
        <w:rFonts w:ascii="Ebrima" w:eastAsia="Ebrima" w:hAnsi="Ebrima" w:cs="Ebrima"/>
        <w:b w:val="0"/>
        <w:i w:val="0"/>
        <w:sz w:val="22"/>
        <w:szCs w:val="22"/>
      </w:rPr>
    </w:lvl>
    <w:lvl w:ilvl="1">
      <w:numFmt w:val="bullet"/>
      <w:lvlText w:val="•"/>
      <w:lvlJc w:val="left"/>
      <w:pPr>
        <w:ind w:left="1526" w:hanging="360"/>
      </w:pPr>
    </w:lvl>
    <w:lvl w:ilvl="2">
      <w:numFmt w:val="bullet"/>
      <w:lvlText w:val="•"/>
      <w:lvlJc w:val="left"/>
      <w:pPr>
        <w:ind w:left="2333" w:hanging="360"/>
      </w:pPr>
    </w:lvl>
    <w:lvl w:ilvl="3">
      <w:numFmt w:val="bullet"/>
      <w:lvlText w:val="•"/>
      <w:lvlJc w:val="left"/>
      <w:pPr>
        <w:ind w:left="3140" w:hanging="360"/>
      </w:pPr>
    </w:lvl>
    <w:lvl w:ilvl="4">
      <w:numFmt w:val="bullet"/>
      <w:lvlText w:val="•"/>
      <w:lvlJc w:val="left"/>
      <w:pPr>
        <w:ind w:left="3947" w:hanging="360"/>
      </w:pPr>
    </w:lvl>
    <w:lvl w:ilvl="5">
      <w:numFmt w:val="bullet"/>
      <w:lvlText w:val="•"/>
      <w:lvlJc w:val="left"/>
      <w:pPr>
        <w:ind w:left="4754" w:hanging="360"/>
      </w:pPr>
    </w:lvl>
    <w:lvl w:ilvl="6">
      <w:numFmt w:val="bullet"/>
      <w:lvlText w:val="•"/>
      <w:lvlJc w:val="left"/>
      <w:pPr>
        <w:ind w:left="5561" w:hanging="360"/>
      </w:pPr>
    </w:lvl>
    <w:lvl w:ilvl="7">
      <w:numFmt w:val="bullet"/>
      <w:lvlText w:val="•"/>
      <w:lvlJc w:val="left"/>
      <w:pPr>
        <w:ind w:left="6368" w:hanging="360"/>
      </w:pPr>
    </w:lvl>
    <w:lvl w:ilvl="8">
      <w:numFmt w:val="bullet"/>
      <w:lvlText w:val="•"/>
      <w:lvlJc w:val="left"/>
      <w:pPr>
        <w:ind w:left="7175"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CF6"/>
    <w:rsid w:val="009414A1"/>
    <w:rsid w:val="009F7D97"/>
    <w:rsid w:val="00DB5CF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C6A7"/>
  <w15:docId w15:val="{F6586004-5678-4753-8CEA-23925F230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Ebrima" w:eastAsia="Ebrima" w:hAnsi="Ebrima" w:cs="Ebrima"/>
        <w:sz w:val="22"/>
        <w:szCs w:val="22"/>
        <w:lang w:val="es" w:eastAsia="es-PE"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ind w:right="134"/>
      <w:jc w:val="center"/>
    </w:pPr>
    <w:rPr>
      <w:b/>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721" w:right="133"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B875CD"/>
    <w:pPr>
      <w:tabs>
        <w:tab w:val="center" w:pos="4252"/>
        <w:tab w:val="right" w:pos="8504"/>
      </w:tabs>
    </w:pPr>
  </w:style>
  <w:style w:type="character" w:customStyle="1" w:styleId="EncabezadoCar">
    <w:name w:val="Encabezado Car"/>
    <w:basedOn w:val="Fuentedeprrafopredeter"/>
    <w:link w:val="Encabezado"/>
    <w:uiPriority w:val="99"/>
    <w:rsid w:val="00B875CD"/>
  </w:style>
  <w:style w:type="paragraph" w:styleId="Piedepgina">
    <w:name w:val="footer"/>
    <w:basedOn w:val="Normal"/>
    <w:link w:val="PiedepginaCar"/>
    <w:uiPriority w:val="99"/>
    <w:unhideWhenUsed/>
    <w:rsid w:val="00B875CD"/>
    <w:pPr>
      <w:tabs>
        <w:tab w:val="center" w:pos="4252"/>
        <w:tab w:val="right" w:pos="8504"/>
      </w:tabs>
    </w:pPr>
  </w:style>
  <w:style w:type="character" w:customStyle="1" w:styleId="PiedepginaCar">
    <w:name w:val="Pie de página Car"/>
    <w:basedOn w:val="Fuentedeprrafopredeter"/>
    <w:link w:val="Piedepgina"/>
    <w:uiPriority w:val="99"/>
    <w:rsid w:val="00B875CD"/>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dnDe6Cz01a1cmTsyRjGypeVmw==">CgMxLjA4AHIhMVlpTlRIZEFxZ210T3k0d0l1dkxTUV9QVG01Vm5PVTBS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1438</Characters>
  <Application>Microsoft Office Word</Application>
  <DocSecurity>0</DocSecurity>
  <Lines>11</Lines>
  <Paragraphs>3</Paragraphs>
  <ScaleCrop>false</ScaleCrop>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Reymundo Vilca</dc:creator>
  <cp:lastModifiedBy>Jorge Juvenal</cp:lastModifiedBy>
  <cp:revision>2</cp:revision>
  <dcterms:created xsi:type="dcterms:W3CDTF">2025-12-16T22:10:00Z</dcterms:created>
  <dcterms:modified xsi:type="dcterms:W3CDTF">2025-12-16T22:10:00Z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Creator">
    <vt:lpwstr>Microsoft® Word 2019</vt:lpwstr>
  </property>
  <property fmtid="{D5CDD505-2E9C-101B-9397-08002B2CF9AE}" pid="4" name="LastSaved">
    <vt:filetime>2025-09-10T00:00:00Z</vt:filetime>
  </property>
  <property fmtid="{D5CDD505-2E9C-101B-9397-08002B2CF9AE}" pid="5" name="Producer">
    <vt:lpwstr>Microsoft® Word 2019</vt:lpwstr>
  </property>
</Properties>
</file>