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ADAF6" w14:textId="0FD9F03F" w:rsidR="00CD23AE" w:rsidRDefault="00916610">
      <w:pPr>
        <w:pStyle w:val="Ttulo4"/>
        <w:jc w:val="both"/>
      </w:pPr>
      <w:r>
        <w:rPr>
          <w:noProof/>
        </w:rPr>
        <w:drawing>
          <wp:anchor distT="0" distB="0" distL="114300" distR="114300" simplePos="0" relativeHeight="251658240" behindDoc="0" locked="0" layoutInCell="1" allowOverlap="1" wp14:anchorId="36E25377" wp14:editId="5D22C761">
            <wp:simplePos x="0" y="0"/>
            <wp:positionH relativeFrom="column">
              <wp:posOffset>-449581</wp:posOffset>
            </wp:positionH>
            <wp:positionV relativeFrom="paragraph">
              <wp:posOffset>-774700</wp:posOffset>
            </wp:positionV>
            <wp:extent cx="7583653" cy="107315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7596526" cy="10749716"/>
                    </a:xfrm>
                    <a:prstGeom prst="rect">
                      <a:avLst/>
                    </a:prstGeom>
                  </pic:spPr>
                </pic:pic>
              </a:graphicData>
            </a:graphic>
            <wp14:sizeRelH relativeFrom="page">
              <wp14:pctWidth>0</wp14:pctWidth>
            </wp14:sizeRelH>
            <wp14:sizeRelV relativeFrom="page">
              <wp14:pctHeight>0</wp14:pctHeight>
            </wp14:sizeRelV>
          </wp:anchor>
        </w:drawing>
      </w:r>
    </w:p>
    <w:p w14:paraId="5B6EEE73" w14:textId="77777777" w:rsidR="00CD23AE" w:rsidRDefault="00CD23AE">
      <w:pPr>
        <w:tabs>
          <w:tab w:val="left" w:pos="1605"/>
        </w:tabs>
        <w:jc w:val="both"/>
        <w:rPr>
          <w:rFonts w:ascii="Calibri" w:eastAsia="Calibri" w:hAnsi="Calibri" w:cs="Calibri"/>
          <w:b/>
          <w:sz w:val="72"/>
          <w:szCs w:val="72"/>
        </w:rPr>
      </w:pPr>
    </w:p>
    <w:p w14:paraId="49BE9EDF" w14:textId="77777777" w:rsidR="00CD23AE" w:rsidRDefault="00CD23AE">
      <w:pPr>
        <w:tabs>
          <w:tab w:val="left" w:pos="1605"/>
        </w:tabs>
        <w:jc w:val="both"/>
        <w:rPr>
          <w:rFonts w:ascii="Calibri" w:eastAsia="Calibri" w:hAnsi="Calibri" w:cs="Calibri"/>
          <w:b/>
          <w:sz w:val="72"/>
          <w:szCs w:val="72"/>
        </w:rPr>
      </w:pPr>
    </w:p>
    <w:p w14:paraId="30E1BCD6" w14:textId="77777777" w:rsidR="00CD23AE" w:rsidRDefault="00CD23AE">
      <w:pPr>
        <w:tabs>
          <w:tab w:val="left" w:pos="1605"/>
        </w:tabs>
        <w:jc w:val="both"/>
        <w:rPr>
          <w:rFonts w:ascii="Calibri" w:eastAsia="Calibri" w:hAnsi="Calibri" w:cs="Calibri"/>
          <w:b/>
          <w:sz w:val="72"/>
          <w:szCs w:val="72"/>
        </w:rPr>
      </w:pPr>
    </w:p>
    <w:p w14:paraId="5F161FD4" w14:textId="77777777" w:rsidR="00CD23AE" w:rsidRDefault="00CD23AE">
      <w:pPr>
        <w:tabs>
          <w:tab w:val="left" w:pos="1605"/>
        </w:tabs>
        <w:jc w:val="both"/>
        <w:rPr>
          <w:rFonts w:ascii="Calibri" w:eastAsia="Calibri" w:hAnsi="Calibri" w:cs="Calibri"/>
          <w:b/>
          <w:sz w:val="72"/>
          <w:szCs w:val="72"/>
        </w:rPr>
      </w:pPr>
    </w:p>
    <w:p w14:paraId="6ECFE9CB" w14:textId="77777777" w:rsidR="00CD23AE" w:rsidRDefault="00CD23AE">
      <w:pPr>
        <w:tabs>
          <w:tab w:val="left" w:pos="1605"/>
        </w:tabs>
        <w:jc w:val="both"/>
        <w:rPr>
          <w:rFonts w:ascii="Calibri" w:eastAsia="Calibri" w:hAnsi="Calibri" w:cs="Calibri"/>
          <w:b/>
          <w:sz w:val="96"/>
          <w:szCs w:val="96"/>
        </w:rPr>
      </w:pPr>
    </w:p>
    <w:p w14:paraId="39491286" w14:textId="77777777" w:rsidR="00CD23AE" w:rsidRDefault="00CD23AE">
      <w:pPr>
        <w:pBdr>
          <w:top w:val="nil"/>
          <w:left w:val="nil"/>
          <w:bottom w:val="nil"/>
          <w:right w:val="nil"/>
          <w:between w:val="nil"/>
        </w:pBdr>
        <w:jc w:val="both"/>
        <w:rPr>
          <w:rFonts w:ascii="Trebuchet MS" w:eastAsia="Trebuchet MS" w:hAnsi="Trebuchet MS" w:cs="Trebuchet MS"/>
          <w:color w:val="000000"/>
          <w:sz w:val="20"/>
          <w:szCs w:val="20"/>
        </w:rPr>
      </w:pPr>
    </w:p>
    <w:p w14:paraId="4358693C" w14:textId="77777777" w:rsidR="00CD23AE" w:rsidRDefault="00CD23AE">
      <w:pPr>
        <w:pBdr>
          <w:top w:val="nil"/>
          <w:left w:val="nil"/>
          <w:bottom w:val="nil"/>
          <w:right w:val="nil"/>
          <w:between w:val="nil"/>
        </w:pBdr>
        <w:jc w:val="both"/>
        <w:rPr>
          <w:rFonts w:ascii="Arial" w:eastAsia="Arial" w:hAnsi="Arial" w:cs="Arial"/>
          <w:color w:val="000000"/>
          <w:sz w:val="20"/>
          <w:szCs w:val="20"/>
        </w:rPr>
        <w:sectPr w:rsidR="00CD23AE">
          <w:headerReference w:type="default" r:id="rId9"/>
          <w:footerReference w:type="default" r:id="rId10"/>
          <w:pgSz w:w="11910" w:h="16850"/>
          <w:pgMar w:top="1180" w:right="992" w:bottom="800" w:left="708" w:header="767" w:footer="605" w:gutter="0"/>
          <w:pgNumType w:start="2"/>
          <w:cols w:space="720"/>
        </w:sectPr>
      </w:pPr>
    </w:p>
    <w:p w14:paraId="401DFFAF" w14:textId="77777777" w:rsidR="00AD6327" w:rsidRDefault="00127FFC">
      <w:pPr>
        <w:tabs>
          <w:tab w:val="center" w:pos="4254"/>
          <w:tab w:val="left" w:pos="7136"/>
        </w:tabs>
        <w:rPr>
          <w:rFonts w:ascii="Arial" w:eastAsia="Arial" w:hAnsi="Arial" w:cs="Arial"/>
          <w:b/>
          <w:color w:val="062D60"/>
          <w:sz w:val="28"/>
          <w:szCs w:val="28"/>
        </w:rPr>
      </w:pPr>
      <w:r>
        <w:rPr>
          <w:rFonts w:ascii="Arial" w:eastAsia="Arial" w:hAnsi="Arial" w:cs="Arial"/>
          <w:b/>
          <w:color w:val="062D60"/>
          <w:sz w:val="28"/>
          <w:szCs w:val="28"/>
        </w:rPr>
        <w:lastRenderedPageBreak/>
        <w:tab/>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2"/>
        <w:gridCol w:w="4808"/>
      </w:tblGrid>
      <w:tr w:rsidR="00AD6327" w14:paraId="32E09EBF" w14:textId="77777777" w:rsidTr="00AD6327">
        <w:tc>
          <w:tcPr>
            <w:tcW w:w="4824" w:type="dxa"/>
            <w:tcBorders>
              <w:top w:val="single" w:sz="4" w:space="0" w:color="000000"/>
              <w:left w:val="single" w:sz="4" w:space="0" w:color="000000"/>
              <w:bottom w:val="single" w:sz="4" w:space="0" w:color="000000"/>
              <w:right w:val="single" w:sz="4" w:space="0" w:color="000000"/>
            </w:tcBorders>
            <w:vAlign w:val="center"/>
          </w:tcPr>
          <w:p w14:paraId="59E6B4B0" w14:textId="77777777" w:rsidR="00AD6327" w:rsidRDefault="00AD6327">
            <w:pPr>
              <w:jc w:val="both"/>
              <w:rPr>
                <w:rFonts w:ascii="Arial" w:eastAsia="Arial" w:hAnsi="Arial" w:cs="Arial"/>
                <w:b/>
                <w:lang w:val="es-ES"/>
              </w:rPr>
            </w:pPr>
          </w:p>
          <w:p w14:paraId="02AEB529" w14:textId="77777777" w:rsidR="00AD6327" w:rsidRDefault="00AD6327">
            <w:pPr>
              <w:jc w:val="both"/>
              <w:rPr>
                <w:rFonts w:ascii="Arial" w:eastAsia="Arial" w:hAnsi="Arial" w:cs="Arial"/>
                <w:b/>
                <w:lang w:val="es-ES"/>
              </w:rPr>
            </w:pPr>
            <w:r>
              <w:rPr>
                <w:rFonts w:ascii="Arial" w:eastAsia="Arial" w:hAnsi="Arial" w:cs="Arial"/>
                <w:b/>
                <w:lang w:val="es-ES"/>
              </w:rPr>
              <w:t>INSTRUMENTO DE APROBACIÓN</w:t>
            </w:r>
          </w:p>
          <w:p w14:paraId="0368849F" w14:textId="77777777" w:rsidR="00AD6327" w:rsidRDefault="00AD6327">
            <w:pPr>
              <w:jc w:val="both"/>
              <w:rPr>
                <w:rFonts w:ascii="Arial" w:eastAsia="Arial" w:hAnsi="Arial" w:cs="Arial"/>
                <w:b/>
                <w:lang w:val="es-ES"/>
              </w:rPr>
            </w:pPr>
          </w:p>
        </w:tc>
        <w:tc>
          <w:tcPr>
            <w:tcW w:w="4810" w:type="dxa"/>
            <w:tcBorders>
              <w:top w:val="single" w:sz="4" w:space="0" w:color="000000"/>
              <w:left w:val="single" w:sz="4" w:space="0" w:color="000000"/>
              <w:bottom w:val="single" w:sz="4" w:space="0" w:color="000000"/>
              <w:right w:val="single" w:sz="4" w:space="0" w:color="000000"/>
            </w:tcBorders>
            <w:vAlign w:val="center"/>
            <w:hideMark/>
          </w:tcPr>
          <w:p w14:paraId="5BB46702" w14:textId="77777777" w:rsidR="00AD6327" w:rsidRDefault="00AD6327">
            <w:pPr>
              <w:jc w:val="center"/>
              <w:rPr>
                <w:rFonts w:ascii="Arial" w:eastAsia="Arial" w:hAnsi="Arial" w:cs="Arial"/>
                <w:lang w:val="es-ES"/>
              </w:rPr>
            </w:pPr>
            <w:r>
              <w:rPr>
                <w:rFonts w:ascii="Arial" w:eastAsia="Arial" w:hAnsi="Arial" w:cs="Arial"/>
                <w:lang w:val="es-ES"/>
              </w:rPr>
              <w:t xml:space="preserve">Acta de Sesión Extraordinaria N° 004-2025- CS/CAPEJU </w:t>
            </w:r>
          </w:p>
        </w:tc>
      </w:tr>
      <w:tr w:rsidR="00AD6327" w14:paraId="0CC2848B" w14:textId="77777777" w:rsidTr="00AD6327">
        <w:tc>
          <w:tcPr>
            <w:tcW w:w="4824" w:type="dxa"/>
            <w:tcBorders>
              <w:top w:val="single" w:sz="4" w:space="0" w:color="000000"/>
              <w:left w:val="single" w:sz="4" w:space="0" w:color="000000"/>
              <w:bottom w:val="single" w:sz="4" w:space="0" w:color="000000"/>
              <w:right w:val="single" w:sz="4" w:space="0" w:color="000000"/>
            </w:tcBorders>
            <w:vAlign w:val="center"/>
          </w:tcPr>
          <w:p w14:paraId="6E36C692" w14:textId="77777777" w:rsidR="00AD6327" w:rsidRDefault="00AD6327">
            <w:pPr>
              <w:jc w:val="both"/>
              <w:rPr>
                <w:rFonts w:ascii="Arial" w:eastAsia="Arial" w:hAnsi="Arial" w:cs="Arial"/>
                <w:b/>
                <w:lang w:val="es-ES"/>
              </w:rPr>
            </w:pPr>
          </w:p>
          <w:p w14:paraId="466CD04A" w14:textId="77777777" w:rsidR="00AD6327" w:rsidRDefault="00AD6327">
            <w:pPr>
              <w:jc w:val="both"/>
              <w:rPr>
                <w:rFonts w:ascii="Arial" w:eastAsia="Arial" w:hAnsi="Arial" w:cs="Arial"/>
                <w:b/>
                <w:lang w:val="es-ES"/>
              </w:rPr>
            </w:pPr>
            <w:r>
              <w:rPr>
                <w:rFonts w:ascii="Arial" w:eastAsia="Arial" w:hAnsi="Arial" w:cs="Arial"/>
                <w:b/>
                <w:lang w:val="es-ES"/>
              </w:rPr>
              <w:t>FECHA DE APROBACIÓN</w:t>
            </w:r>
          </w:p>
          <w:p w14:paraId="577F8D75" w14:textId="77777777" w:rsidR="00AD6327" w:rsidRDefault="00AD6327">
            <w:pPr>
              <w:jc w:val="both"/>
              <w:rPr>
                <w:rFonts w:ascii="Arial" w:eastAsia="Arial" w:hAnsi="Arial" w:cs="Arial"/>
                <w:b/>
                <w:lang w:val="es-ES"/>
              </w:rPr>
            </w:pPr>
          </w:p>
        </w:tc>
        <w:tc>
          <w:tcPr>
            <w:tcW w:w="4810" w:type="dxa"/>
            <w:tcBorders>
              <w:top w:val="single" w:sz="4" w:space="0" w:color="000000"/>
              <w:left w:val="single" w:sz="4" w:space="0" w:color="000000"/>
              <w:bottom w:val="single" w:sz="4" w:space="0" w:color="000000"/>
              <w:right w:val="single" w:sz="4" w:space="0" w:color="000000"/>
            </w:tcBorders>
            <w:vAlign w:val="center"/>
            <w:hideMark/>
          </w:tcPr>
          <w:p w14:paraId="5362B4E5" w14:textId="77777777" w:rsidR="00AD6327" w:rsidRDefault="00AD6327">
            <w:pPr>
              <w:jc w:val="both"/>
              <w:rPr>
                <w:rFonts w:ascii="Arial" w:eastAsia="Arial" w:hAnsi="Arial" w:cs="Arial"/>
                <w:b/>
                <w:color w:val="283583"/>
                <w:lang w:val="es-ES"/>
              </w:rPr>
            </w:pPr>
            <w:r>
              <w:rPr>
                <w:rFonts w:ascii="Arial" w:eastAsia="Arial" w:hAnsi="Arial" w:cs="Arial"/>
                <w:lang w:val="es-ES"/>
              </w:rPr>
              <w:t>24/11/2025</w:t>
            </w:r>
          </w:p>
        </w:tc>
      </w:tr>
      <w:tr w:rsidR="00AD6327" w14:paraId="3607A883" w14:textId="77777777" w:rsidTr="00AD6327">
        <w:tc>
          <w:tcPr>
            <w:tcW w:w="4824" w:type="dxa"/>
            <w:tcBorders>
              <w:top w:val="single" w:sz="4" w:space="0" w:color="000000"/>
              <w:left w:val="single" w:sz="4" w:space="0" w:color="000000"/>
              <w:bottom w:val="single" w:sz="4" w:space="0" w:color="000000"/>
              <w:right w:val="single" w:sz="4" w:space="0" w:color="000000"/>
            </w:tcBorders>
            <w:vAlign w:val="center"/>
          </w:tcPr>
          <w:p w14:paraId="1D6389B0" w14:textId="77777777" w:rsidR="00AD6327" w:rsidRDefault="00AD6327">
            <w:pPr>
              <w:jc w:val="both"/>
              <w:rPr>
                <w:rFonts w:ascii="Arial" w:eastAsia="Arial" w:hAnsi="Arial" w:cs="Arial"/>
                <w:b/>
                <w:lang w:val="es-ES"/>
              </w:rPr>
            </w:pPr>
          </w:p>
          <w:p w14:paraId="0EA5D977" w14:textId="77777777" w:rsidR="00AD6327" w:rsidRDefault="00AD6327">
            <w:pPr>
              <w:jc w:val="both"/>
              <w:rPr>
                <w:rFonts w:ascii="Arial" w:eastAsia="Arial" w:hAnsi="Arial" w:cs="Arial"/>
                <w:b/>
                <w:lang w:val="es-ES"/>
              </w:rPr>
            </w:pPr>
            <w:r>
              <w:rPr>
                <w:rFonts w:ascii="Arial" w:eastAsia="Arial" w:hAnsi="Arial" w:cs="Arial"/>
                <w:b/>
                <w:lang w:val="es-ES"/>
              </w:rPr>
              <w:t>MEDIO DE PUBLICACIÓN</w:t>
            </w:r>
          </w:p>
          <w:p w14:paraId="0B946A5F" w14:textId="77777777" w:rsidR="00AD6327" w:rsidRDefault="00AD6327">
            <w:pPr>
              <w:jc w:val="both"/>
              <w:rPr>
                <w:rFonts w:ascii="Arial" w:eastAsia="Arial" w:hAnsi="Arial" w:cs="Arial"/>
                <w:b/>
                <w:lang w:val="es-ES"/>
              </w:rPr>
            </w:pPr>
          </w:p>
        </w:tc>
        <w:tc>
          <w:tcPr>
            <w:tcW w:w="4810" w:type="dxa"/>
            <w:tcBorders>
              <w:top w:val="single" w:sz="4" w:space="0" w:color="000000"/>
              <w:left w:val="single" w:sz="4" w:space="0" w:color="000000"/>
              <w:bottom w:val="single" w:sz="4" w:space="0" w:color="000000"/>
              <w:right w:val="single" w:sz="4" w:space="0" w:color="000000"/>
            </w:tcBorders>
            <w:vAlign w:val="center"/>
            <w:hideMark/>
          </w:tcPr>
          <w:p w14:paraId="57C18492" w14:textId="77777777" w:rsidR="00AD6327" w:rsidRDefault="00AD6327">
            <w:pPr>
              <w:jc w:val="both"/>
              <w:rPr>
                <w:rFonts w:ascii="Arial" w:eastAsia="Arial" w:hAnsi="Arial" w:cs="Arial"/>
                <w:lang w:val="es-ES"/>
              </w:rPr>
            </w:pPr>
            <w:r>
              <w:rPr>
                <w:rFonts w:ascii="Arial" w:eastAsia="Arial" w:hAnsi="Arial" w:cs="Arial"/>
                <w:lang w:val="es-ES"/>
              </w:rPr>
              <w:t>Página Web</w:t>
            </w:r>
          </w:p>
        </w:tc>
      </w:tr>
      <w:tr w:rsidR="00AD6327" w14:paraId="7ADFE068" w14:textId="77777777" w:rsidTr="00AD6327">
        <w:tc>
          <w:tcPr>
            <w:tcW w:w="4824" w:type="dxa"/>
            <w:tcBorders>
              <w:top w:val="single" w:sz="4" w:space="0" w:color="000000"/>
              <w:left w:val="single" w:sz="4" w:space="0" w:color="000000"/>
              <w:bottom w:val="single" w:sz="4" w:space="0" w:color="000000"/>
              <w:right w:val="single" w:sz="4" w:space="0" w:color="000000"/>
            </w:tcBorders>
            <w:vAlign w:val="center"/>
          </w:tcPr>
          <w:p w14:paraId="5ED86A67" w14:textId="77777777" w:rsidR="00AD6327" w:rsidRDefault="00AD6327">
            <w:pPr>
              <w:jc w:val="both"/>
              <w:rPr>
                <w:rFonts w:ascii="Arial" w:eastAsia="Arial" w:hAnsi="Arial" w:cs="Arial"/>
                <w:b/>
                <w:lang w:val="es-ES"/>
              </w:rPr>
            </w:pPr>
          </w:p>
          <w:p w14:paraId="2F76CFD4" w14:textId="77777777" w:rsidR="00AD6327" w:rsidRDefault="00AD6327">
            <w:pPr>
              <w:jc w:val="both"/>
              <w:rPr>
                <w:rFonts w:ascii="Arial" w:eastAsia="Arial" w:hAnsi="Arial" w:cs="Arial"/>
                <w:b/>
                <w:lang w:val="es-ES"/>
              </w:rPr>
            </w:pPr>
            <w:r>
              <w:rPr>
                <w:rFonts w:ascii="Arial" w:eastAsia="Arial" w:hAnsi="Arial" w:cs="Arial"/>
                <w:b/>
                <w:lang w:val="es-ES"/>
              </w:rPr>
              <w:t>INICIO DE VIGENCIA</w:t>
            </w:r>
          </w:p>
          <w:p w14:paraId="7C0FCCC2" w14:textId="77777777" w:rsidR="00AD6327" w:rsidRDefault="00AD6327">
            <w:pPr>
              <w:jc w:val="both"/>
              <w:rPr>
                <w:rFonts w:ascii="Arial" w:eastAsia="Arial" w:hAnsi="Arial" w:cs="Arial"/>
                <w:b/>
                <w:lang w:val="es-ES"/>
              </w:rPr>
            </w:pPr>
          </w:p>
        </w:tc>
        <w:tc>
          <w:tcPr>
            <w:tcW w:w="4810" w:type="dxa"/>
            <w:tcBorders>
              <w:top w:val="single" w:sz="4" w:space="0" w:color="000000"/>
              <w:left w:val="single" w:sz="4" w:space="0" w:color="000000"/>
              <w:bottom w:val="single" w:sz="4" w:space="0" w:color="000000"/>
              <w:right w:val="single" w:sz="4" w:space="0" w:color="000000"/>
            </w:tcBorders>
            <w:vAlign w:val="center"/>
            <w:hideMark/>
          </w:tcPr>
          <w:p w14:paraId="052F1907" w14:textId="77777777" w:rsidR="00AD6327" w:rsidRDefault="00AD6327">
            <w:pPr>
              <w:jc w:val="both"/>
              <w:rPr>
                <w:rFonts w:ascii="Arial" w:eastAsia="Arial" w:hAnsi="Arial" w:cs="Arial"/>
                <w:b/>
                <w:color w:val="283583"/>
                <w:lang w:val="es-ES"/>
              </w:rPr>
            </w:pPr>
            <w:r>
              <w:rPr>
                <w:rFonts w:ascii="Arial" w:eastAsia="Arial" w:hAnsi="Arial" w:cs="Arial"/>
                <w:lang w:val="es-ES"/>
              </w:rPr>
              <w:t>25/11/2025</w:t>
            </w:r>
          </w:p>
        </w:tc>
      </w:tr>
    </w:tbl>
    <w:p w14:paraId="7EF9601E" w14:textId="77777777" w:rsidR="00AD6327" w:rsidRDefault="00AD6327">
      <w:pPr>
        <w:tabs>
          <w:tab w:val="center" w:pos="4254"/>
          <w:tab w:val="left" w:pos="7136"/>
        </w:tabs>
        <w:rPr>
          <w:rFonts w:ascii="Arial" w:eastAsia="Arial" w:hAnsi="Arial" w:cs="Arial"/>
          <w:b/>
          <w:color w:val="062D60"/>
          <w:sz w:val="28"/>
          <w:szCs w:val="28"/>
        </w:rPr>
      </w:pPr>
    </w:p>
    <w:p w14:paraId="74C49ED1" w14:textId="77777777" w:rsidR="00AD6327" w:rsidRDefault="00AD6327">
      <w:pPr>
        <w:tabs>
          <w:tab w:val="center" w:pos="4254"/>
          <w:tab w:val="left" w:pos="7136"/>
        </w:tabs>
        <w:rPr>
          <w:rFonts w:ascii="Arial" w:eastAsia="Arial" w:hAnsi="Arial" w:cs="Arial"/>
          <w:b/>
          <w:color w:val="062D60"/>
          <w:sz w:val="28"/>
          <w:szCs w:val="28"/>
        </w:rPr>
      </w:pPr>
    </w:p>
    <w:p w14:paraId="31C9F25F" w14:textId="5F6CAB55" w:rsidR="00CD23AE" w:rsidRDefault="00127FFC" w:rsidP="00AD6327">
      <w:pPr>
        <w:tabs>
          <w:tab w:val="center" w:pos="4254"/>
          <w:tab w:val="left" w:pos="7136"/>
        </w:tabs>
        <w:jc w:val="center"/>
        <w:rPr>
          <w:rFonts w:ascii="Arial" w:eastAsia="Arial" w:hAnsi="Arial" w:cs="Arial"/>
          <w:b/>
          <w:sz w:val="28"/>
          <w:szCs w:val="28"/>
        </w:rPr>
      </w:pPr>
      <w:r>
        <w:rPr>
          <w:rFonts w:ascii="Arial" w:eastAsia="Arial" w:hAnsi="Arial" w:cs="Arial"/>
          <w:b/>
          <w:sz w:val="28"/>
          <w:szCs w:val="28"/>
        </w:rPr>
        <w:t>ÍNDICE</w:t>
      </w:r>
    </w:p>
    <w:p w14:paraId="2B63FC9B" w14:textId="77777777" w:rsidR="00CD23AE" w:rsidRDefault="00CD23AE">
      <w:pPr>
        <w:jc w:val="center"/>
        <w:rPr>
          <w:rFonts w:ascii="Arial" w:eastAsia="Arial" w:hAnsi="Arial" w:cs="Arial"/>
          <w:b/>
          <w:sz w:val="36"/>
          <w:szCs w:val="36"/>
        </w:rPr>
      </w:pPr>
    </w:p>
    <w:p w14:paraId="35DE94D6" w14:textId="77777777" w:rsidR="00CD23AE" w:rsidRDefault="00127FFC">
      <w:pPr>
        <w:rPr>
          <w:rFonts w:ascii="Arial" w:eastAsia="Arial" w:hAnsi="Arial" w:cs="Arial"/>
          <w:b/>
          <w:color w:val="E80303"/>
          <w:sz w:val="24"/>
          <w:szCs w:val="24"/>
        </w:rPr>
      </w:pPr>
      <w:r>
        <w:rPr>
          <w:rFonts w:ascii="Arial" w:eastAsia="Arial" w:hAnsi="Arial" w:cs="Arial"/>
          <w:b/>
          <w:color w:val="E80303"/>
          <w:sz w:val="24"/>
          <w:szCs w:val="24"/>
        </w:rPr>
        <w:t>GLOSARIO DE TÉRMINOS</w:t>
      </w:r>
    </w:p>
    <w:p w14:paraId="37009701" w14:textId="77777777" w:rsidR="00CD23AE" w:rsidRDefault="00CD23AE">
      <w:pPr>
        <w:rPr>
          <w:rFonts w:ascii="Arial" w:eastAsia="Arial" w:hAnsi="Arial" w:cs="Arial"/>
          <w:b/>
          <w:color w:val="062D60"/>
          <w:sz w:val="24"/>
          <w:szCs w:val="24"/>
        </w:rPr>
      </w:pPr>
    </w:p>
    <w:p w14:paraId="2CADE339" w14:textId="77777777" w:rsidR="00CD23AE" w:rsidRDefault="00127FFC">
      <w:pPr>
        <w:rPr>
          <w:rFonts w:ascii="Arial" w:eastAsia="Arial" w:hAnsi="Arial" w:cs="Arial"/>
          <w:b/>
          <w:color w:val="911808"/>
          <w:sz w:val="24"/>
          <w:szCs w:val="24"/>
        </w:rPr>
      </w:pPr>
      <w:r>
        <w:rPr>
          <w:rFonts w:ascii="Arial" w:eastAsia="Arial" w:hAnsi="Arial" w:cs="Arial"/>
          <w:b/>
          <w:color w:val="E80303"/>
          <w:sz w:val="24"/>
          <w:szCs w:val="24"/>
        </w:rPr>
        <w:t>SECCIÓN I: DISPOSICIONES GENERALES</w:t>
      </w:r>
    </w:p>
    <w:p w14:paraId="25F2BDBA" w14:textId="77777777" w:rsidR="00CD23AE" w:rsidRDefault="00127FFC">
      <w:pPr>
        <w:rPr>
          <w:rFonts w:ascii="Arial" w:eastAsia="Arial" w:hAnsi="Arial" w:cs="Arial"/>
          <w:b/>
          <w:sz w:val="24"/>
          <w:szCs w:val="24"/>
        </w:rPr>
      </w:pPr>
      <w:r>
        <w:rPr>
          <w:rFonts w:ascii="Arial" w:eastAsia="Arial" w:hAnsi="Arial" w:cs="Arial"/>
          <w:b/>
          <w:color w:val="916F41"/>
          <w:sz w:val="24"/>
          <w:szCs w:val="24"/>
        </w:rPr>
        <w:t xml:space="preserve">CAPÍTULO I: </w:t>
      </w:r>
      <w:r>
        <w:rPr>
          <w:rFonts w:ascii="Arial" w:eastAsia="Arial" w:hAnsi="Arial" w:cs="Arial"/>
          <w:sz w:val="24"/>
          <w:szCs w:val="24"/>
        </w:rPr>
        <w:t>ÁMBITO DE APLICACIÓN</w:t>
      </w:r>
    </w:p>
    <w:p w14:paraId="6C654F00" w14:textId="77777777" w:rsidR="00CD23AE" w:rsidRDefault="00127FFC">
      <w:pPr>
        <w:rPr>
          <w:rFonts w:ascii="Arial" w:eastAsia="Arial" w:hAnsi="Arial" w:cs="Arial"/>
          <w:sz w:val="24"/>
          <w:szCs w:val="24"/>
        </w:rPr>
      </w:pPr>
      <w:r>
        <w:rPr>
          <w:rFonts w:ascii="Arial" w:eastAsia="Arial" w:hAnsi="Arial" w:cs="Arial"/>
          <w:b/>
          <w:color w:val="916F41"/>
          <w:sz w:val="24"/>
          <w:szCs w:val="24"/>
        </w:rPr>
        <w:t>CAPÍTULO II:</w:t>
      </w:r>
      <w:r>
        <w:rPr>
          <w:rFonts w:ascii="Arial" w:eastAsia="Arial" w:hAnsi="Arial" w:cs="Arial"/>
          <w:b/>
          <w:sz w:val="24"/>
          <w:szCs w:val="24"/>
        </w:rPr>
        <w:t xml:space="preserve"> </w:t>
      </w:r>
      <w:r>
        <w:rPr>
          <w:rFonts w:ascii="Arial" w:eastAsia="Arial" w:hAnsi="Arial" w:cs="Arial"/>
          <w:sz w:val="24"/>
          <w:szCs w:val="24"/>
        </w:rPr>
        <w:t>DISPOSICIONES APLICABLES</w:t>
      </w:r>
    </w:p>
    <w:p w14:paraId="0594A951" w14:textId="77777777" w:rsidR="00CD23AE" w:rsidRDefault="00CD23AE">
      <w:pPr>
        <w:rPr>
          <w:rFonts w:ascii="Arial" w:eastAsia="Arial" w:hAnsi="Arial" w:cs="Arial"/>
          <w:color w:val="062D60"/>
          <w:sz w:val="24"/>
          <w:szCs w:val="24"/>
        </w:rPr>
      </w:pPr>
    </w:p>
    <w:p w14:paraId="333034B6" w14:textId="77777777" w:rsidR="00CD23AE" w:rsidRDefault="00127FFC">
      <w:pPr>
        <w:rPr>
          <w:rFonts w:ascii="Arial" w:eastAsia="Arial" w:hAnsi="Arial" w:cs="Arial"/>
          <w:b/>
          <w:color w:val="E80303"/>
          <w:sz w:val="24"/>
          <w:szCs w:val="24"/>
        </w:rPr>
      </w:pPr>
      <w:r>
        <w:rPr>
          <w:rFonts w:ascii="Arial" w:eastAsia="Arial" w:hAnsi="Arial" w:cs="Arial"/>
          <w:b/>
          <w:color w:val="E80303"/>
          <w:sz w:val="24"/>
          <w:szCs w:val="24"/>
        </w:rPr>
        <w:t>SECCIÓN II: DE LAS ACTUACIONES ARBITRALES</w:t>
      </w:r>
    </w:p>
    <w:p w14:paraId="5B62EB01" w14:textId="77777777" w:rsidR="00CD23AE" w:rsidRDefault="00127FFC">
      <w:pPr>
        <w:rPr>
          <w:rFonts w:ascii="Arial" w:eastAsia="Arial" w:hAnsi="Arial" w:cs="Arial"/>
          <w:b/>
          <w:sz w:val="24"/>
          <w:szCs w:val="24"/>
        </w:rPr>
      </w:pPr>
      <w:r>
        <w:rPr>
          <w:rFonts w:ascii="Arial" w:eastAsia="Arial" w:hAnsi="Arial" w:cs="Arial"/>
          <w:b/>
          <w:color w:val="916F41"/>
          <w:sz w:val="24"/>
          <w:szCs w:val="24"/>
        </w:rPr>
        <w:t xml:space="preserve">CAPÍTULO I: </w:t>
      </w:r>
      <w:r>
        <w:rPr>
          <w:rFonts w:ascii="Arial" w:eastAsia="Arial" w:hAnsi="Arial" w:cs="Arial"/>
          <w:sz w:val="24"/>
          <w:szCs w:val="24"/>
        </w:rPr>
        <w:t>DE LAS ACTUACIONES ARBITRALES</w:t>
      </w:r>
    </w:p>
    <w:p w14:paraId="7CDE6ABD" w14:textId="77777777" w:rsidR="00CD23AE" w:rsidRDefault="00127FFC">
      <w:pPr>
        <w:rPr>
          <w:rFonts w:ascii="Arial" w:eastAsia="Arial" w:hAnsi="Arial" w:cs="Arial"/>
          <w:b/>
          <w:sz w:val="24"/>
          <w:szCs w:val="24"/>
        </w:rPr>
      </w:pPr>
      <w:r>
        <w:rPr>
          <w:rFonts w:ascii="Arial" w:eastAsia="Arial" w:hAnsi="Arial" w:cs="Arial"/>
          <w:b/>
          <w:color w:val="916F41"/>
          <w:sz w:val="24"/>
          <w:szCs w:val="24"/>
        </w:rPr>
        <w:t xml:space="preserve">CAPÍTULO II: </w:t>
      </w:r>
      <w:r>
        <w:rPr>
          <w:rFonts w:ascii="Arial" w:eastAsia="Arial" w:hAnsi="Arial" w:cs="Arial"/>
          <w:sz w:val="24"/>
          <w:szCs w:val="24"/>
        </w:rPr>
        <w:t>DEL TRIBUNAL ARBITRAL</w:t>
      </w:r>
    </w:p>
    <w:p w14:paraId="7BB1CBA5" w14:textId="77777777" w:rsidR="00CD23AE" w:rsidRDefault="00127FFC">
      <w:pPr>
        <w:ind w:left="426"/>
        <w:rPr>
          <w:rFonts w:ascii="Arial" w:eastAsia="Arial" w:hAnsi="Arial" w:cs="Arial"/>
          <w:b/>
          <w:sz w:val="24"/>
          <w:szCs w:val="24"/>
        </w:rPr>
      </w:pPr>
      <w:r>
        <w:rPr>
          <w:rFonts w:ascii="Arial" w:eastAsia="Arial" w:hAnsi="Arial" w:cs="Arial"/>
          <w:b/>
          <w:color w:val="916F41"/>
          <w:sz w:val="24"/>
          <w:szCs w:val="24"/>
        </w:rPr>
        <w:t>SUBCAPÍTULO I:</w:t>
      </w:r>
      <w:r>
        <w:rPr>
          <w:rFonts w:ascii="Arial" w:eastAsia="Arial" w:hAnsi="Arial" w:cs="Arial"/>
          <w:b/>
          <w:color w:val="062D60"/>
          <w:sz w:val="24"/>
          <w:szCs w:val="24"/>
        </w:rPr>
        <w:t xml:space="preserve"> </w:t>
      </w:r>
      <w:r>
        <w:rPr>
          <w:rFonts w:ascii="Arial" w:eastAsia="Arial" w:hAnsi="Arial" w:cs="Arial"/>
          <w:sz w:val="24"/>
          <w:szCs w:val="24"/>
        </w:rPr>
        <w:t>DE LOS ÁRBITROS</w:t>
      </w:r>
    </w:p>
    <w:p w14:paraId="6EDE63DD" w14:textId="77777777" w:rsidR="00CD23AE" w:rsidRDefault="00127FFC">
      <w:pPr>
        <w:ind w:left="426"/>
        <w:rPr>
          <w:rFonts w:ascii="Arial" w:eastAsia="Arial" w:hAnsi="Arial" w:cs="Arial"/>
          <w:sz w:val="24"/>
          <w:szCs w:val="24"/>
        </w:rPr>
      </w:pPr>
      <w:r>
        <w:rPr>
          <w:rFonts w:ascii="Arial" w:eastAsia="Arial" w:hAnsi="Arial" w:cs="Arial"/>
          <w:b/>
          <w:color w:val="916F41"/>
          <w:sz w:val="24"/>
          <w:szCs w:val="24"/>
        </w:rPr>
        <w:t>SUBCAPÍTULO II:</w:t>
      </w:r>
      <w:r>
        <w:rPr>
          <w:rFonts w:ascii="Arial" w:eastAsia="Arial" w:hAnsi="Arial" w:cs="Arial"/>
          <w:b/>
          <w:color w:val="062D60"/>
          <w:sz w:val="24"/>
          <w:szCs w:val="24"/>
        </w:rPr>
        <w:t xml:space="preserve"> </w:t>
      </w:r>
      <w:r>
        <w:rPr>
          <w:rFonts w:ascii="Arial" w:eastAsia="Arial" w:hAnsi="Arial" w:cs="Arial"/>
          <w:sz w:val="24"/>
          <w:szCs w:val="24"/>
        </w:rPr>
        <w:t>DE LA COMPOSICIÓN DEL TRIBUNAL ARBITRAL</w:t>
      </w:r>
    </w:p>
    <w:p w14:paraId="64A9F6EA" w14:textId="77777777" w:rsidR="00CD23AE" w:rsidRDefault="00127FFC">
      <w:pPr>
        <w:ind w:left="426"/>
        <w:rPr>
          <w:rFonts w:ascii="Arial" w:eastAsia="Arial" w:hAnsi="Arial" w:cs="Arial"/>
          <w:b/>
          <w:sz w:val="24"/>
          <w:szCs w:val="24"/>
        </w:rPr>
      </w:pPr>
      <w:r>
        <w:rPr>
          <w:rFonts w:ascii="Arial" w:eastAsia="Arial" w:hAnsi="Arial" w:cs="Arial"/>
          <w:b/>
          <w:color w:val="916F41"/>
          <w:sz w:val="24"/>
          <w:szCs w:val="24"/>
        </w:rPr>
        <w:t>SUBCAPÍTULO III:</w:t>
      </w:r>
      <w:r>
        <w:rPr>
          <w:rFonts w:ascii="Arial" w:eastAsia="Arial" w:hAnsi="Arial" w:cs="Arial"/>
          <w:b/>
          <w:color w:val="062D60"/>
          <w:sz w:val="24"/>
          <w:szCs w:val="24"/>
        </w:rPr>
        <w:t xml:space="preserve"> </w:t>
      </w:r>
      <w:r>
        <w:rPr>
          <w:rFonts w:ascii="Arial" w:eastAsia="Arial" w:hAnsi="Arial" w:cs="Arial"/>
          <w:sz w:val="24"/>
          <w:szCs w:val="24"/>
        </w:rPr>
        <w:t>DEL APARTAMIENTO, RECUSACIÓN, RENUNCIA Y SUSTITUCIÓN DE ÁRBITROS</w:t>
      </w:r>
    </w:p>
    <w:p w14:paraId="677262EB" w14:textId="77777777" w:rsidR="00CD23AE" w:rsidRDefault="00CD23AE">
      <w:pPr>
        <w:rPr>
          <w:rFonts w:ascii="Arial" w:eastAsia="Arial" w:hAnsi="Arial" w:cs="Arial"/>
          <w:b/>
          <w:color w:val="062D60"/>
          <w:sz w:val="24"/>
          <w:szCs w:val="24"/>
        </w:rPr>
      </w:pPr>
    </w:p>
    <w:p w14:paraId="2A49D180" w14:textId="77777777" w:rsidR="00CD23AE" w:rsidRDefault="00127FFC">
      <w:pPr>
        <w:rPr>
          <w:rFonts w:ascii="Arial" w:eastAsia="Arial" w:hAnsi="Arial" w:cs="Arial"/>
          <w:b/>
          <w:color w:val="E80303"/>
          <w:sz w:val="24"/>
          <w:szCs w:val="24"/>
        </w:rPr>
      </w:pPr>
      <w:r>
        <w:rPr>
          <w:rFonts w:ascii="Arial" w:eastAsia="Arial" w:hAnsi="Arial" w:cs="Arial"/>
          <w:b/>
          <w:color w:val="E80303"/>
          <w:sz w:val="24"/>
          <w:szCs w:val="24"/>
        </w:rPr>
        <w:t>SECCIÓN III: DEL TRÁMITE DE LAS ACTUACIONES ARBITRALES</w:t>
      </w:r>
    </w:p>
    <w:p w14:paraId="6CF6E633" w14:textId="77777777" w:rsidR="00CD23AE" w:rsidRDefault="00127FFC">
      <w:pPr>
        <w:rPr>
          <w:rFonts w:ascii="Arial" w:eastAsia="Arial" w:hAnsi="Arial" w:cs="Arial"/>
          <w:b/>
          <w:sz w:val="24"/>
          <w:szCs w:val="24"/>
        </w:rPr>
      </w:pPr>
      <w:r>
        <w:rPr>
          <w:rFonts w:ascii="Arial" w:eastAsia="Arial" w:hAnsi="Arial" w:cs="Arial"/>
          <w:b/>
          <w:color w:val="916F41"/>
          <w:sz w:val="24"/>
          <w:szCs w:val="24"/>
        </w:rPr>
        <w:t xml:space="preserve">CAPÍTULO I: </w:t>
      </w:r>
      <w:r>
        <w:rPr>
          <w:rFonts w:ascii="Arial" w:eastAsia="Arial" w:hAnsi="Arial" w:cs="Arial"/>
          <w:sz w:val="24"/>
          <w:szCs w:val="24"/>
        </w:rPr>
        <w:t>DISPOSICIONES GENERALES</w:t>
      </w:r>
    </w:p>
    <w:p w14:paraId="56EA3666" w14:textId="77777777" w:rsidR="00CD23AE" w:rsidRDefault="00127FFC">
      <w:pPr>
        <w:rPr>
          <w:rFonts w:ascii="Arial" w:eastAsia="Arial" w:hAnsi="Arial" w:cs="Arial"/>
          <w:b/>
          <w:sz w:val="24"/>
          <w:szCs w:val="24"/>
        </w:rPr>
      </w:pPr>
      <w:r>
        <w:rPr>
          <w:rFonts w:ascii="Arial" w:eastAsia="Arial" w:hAnsi="Arial" w:cs="Arial"/>
          <w:b/>
          <w:color w:val="916F41"/>
          <w:sz w:val="24"/>
          <w:szCs w:val="24"/>
        </w:rPr>
        <w:t xml:space="preserve">CAPÍTULO II: </w:t>
      </w:r>
      <w:r>
        <w:rPr>
          <w:rFonts w:ascii="Arial" w:eastAsia="Arial" w:hAnsi="Arial" w:cs="Arial"/>
          <w:sz w:val="24"/>
          <w:szCs w:val="24"/>
        </w:rPr>
        <w:t>EL LAUDO</w:t>
      </w:r>
    </w:p>
    <w:p w14:paraId="7235DB44" w14:textId="77777777" w:rsidR="00CD23AE" w:rsidRDefault="00127FFC">
      <w:pPr>
        <w:rPr>
          <w:rFonts w:ascii="Arial" w:eastAsia="Arial" w:hAnsi="Arial" w:cs="Arial"/>
          <w:sz w:val="24"/>
          <w:szCs w:val="24"/>
        </w:rPr>
      </w:pPr>
      <w:r>
        <w:rPr>
          <w:rFonts w:ascii="Arial" w:eastAsia="Arial" w:hAnsi="Arial" w:cs="Arial"/>
          <w:b/>
          <w:color w:val="916F41"/>
          <w:sz w:val="24"/>
          <w:szCs w:val="24"/>
        </w:rPr>
        <w:t xml:space="preserve">CAPÍTULO III: </w:t>
      </w:r>
      <w:r>
        <w:rPr>
          <w:rFonts w:ascii="Arial" w:eastAsia="Arial" w:hAnsi="Arial" w:cs="Arial"/>
          <w:sz w:val="24"/>
          <w:szCs w:val="24"/>
        </w:rPr>
        <w:t>MEDIDAS CAUTELARES</w:t>
      </w:r>
    </w:p>
    <w:p w14:paraId="1729B558" w14:textId="77777777" w:rsidR="00CD23AE" w:rsidRDefault="00127FFC">
      <w:pPr>
        <w:rPr>
          <w:rFonts w:ascii="Arial" w:eastAsia="Arial" w:hAnsi="Arial" w:cs="Arial"/>
          <w:sz w:val="24"/>
          <w:szCs w:val="24"/>
        </w:rPr>
      </w:pPr>
      <w:r>
        <w:rPr>
          <w:rFonts w:ascii="Arial" w:eastAsia="Arial" w:hAnsi="Arial" w:cs="Arial"/>
          <w:b/>
          <w:color w:val="916F41"/>
          <w:sz w:val="24"/>
          <w:szCs w:val="24"/>
        </w:rPr>
        <w:t>CAPÍTULO IV:</w:t>
      </w:r>
      <w:r>
        <w:rPr>
          <w:rFonts w:ascii="Arial" w:eastAsia="Arial" w:hAnsi="Arial" w:cs="Arial"/>
          <w:color w:val="062D60"/>
          <w:sz w:val="24"/>
          <w:szCs w:val="24"/>
        </w:rPr>
        <w:t xml:space="preserve"> </w:t>
      </w:r>
      <w:r>
        <w:rPr>
          <w:rFonts w:ascii="Arial" w:eastAsia="Arial" w:hAnsi="Arial" w:cs="Arial"/>
          <w:sz w:val="24"/>
          <w:szCs w:val="24"/>
        </w:rPr>
        <w:t>MEDIDAS CAUTELARES</w:t>
      </w:r>
    </w:p>
    <w:p w14:paraId="361EAB57" w14:textId="77777777" w:rsidR="00CD23AE" w:rsidRDefault="00127FFC">
      <w:pPr>
        <w:rPr>
          <w:rFonts w:ascii="Arial" w:eastAsia="Arial" w:hAnsi="Arial" w:cs="Arial"/>
          <w:b/>
          <w:sz w:val="24"/>
          <w:szCs w:val="24"/>
        </w:rPr>
      </w:pPr>
      <w:r>
        <w:rPr>
          <w:rFonts w:ascii="Arial" w:eastAsia="Arial" w:hAnsi="Arial" w:cs="Arial"/>
          <w:b/>
          <w:color w:val="916F41"/>
          <w:sz w:val="24"/>
          <w:szCs w:val="24"/>
        </w:rPr>
        <w:t>CAPÍTULO V:</w:t>
      </w:r>
      <w:r>
        <w:rPr>
          <w:rFonts w:ascii="Arial" w:eastAsia="Arial" w:hAnsi="Arial" w:cs="Arial"/>
          <w:color w:val="916F41"/>
          <w:sz w:val="24"/>
          <w:szCs w:val="24"/>
        </w:rPr>
        <w:t xml:space="preserve"> </w:t>
      </w:r>
      <w:r>
        <w:rPr>
          <w:rFonts w:ascii="Arial" w:eastAsia="Arial" w:hAnsi="Arial" w:cs="Arial"/>
          <w:sz w:val="24"/>
          <w:szCs w:val="24"/>
        </w:rPr>
        <w:t>ANULACIÓN DE LAUDO ARBITRAL</w:t>
      </w:r>
    </w:p>
    <w:p w14:paraId="519FEF30" w14:textId="77777777" w:rsidR="00CD23AE" w:rsidRDefault="00CD23AE">
      <w:pPr>
        <w:rPr>
          <w:rFonts w:ascii="Arial" w:eastAsia="Arial" w:hAnsi="Arial" w:cs="Arial"/>
          <w:b/>
          <w:color w:val="062D60"/>
          <w:sz w:val="24"/>
          <w:szCs w:val="24"/>
        </w:rPr>
      </w:pPr>
    </w:p>
    <w:p w14:paraId="7FA7E252" w14:textId="77777777" w:rsidR="00CD23AE" w:rsidRDefault="00127FFC">
      <w:pPr>
        <w:rPr>
          <w:rFonts w:ascii="Arial" w:eastAsia="Arial" w:hAnsi="Arial" w:cs="Arial"/>
          <w:b/>
          <w:color w:val="E80303"/>
          <w:sz w:val="24"/>
          <w:szCs w:val="24"/>
        </w:rPr>
      </w:pPr>
      <w:r>
        <w:rPr>
          <w:rFonts w:ascii="Arial" w:eastAsia="Arial" w:hAnsi="Arial" w:cs="Arial"/>
          <w:b/>
          <w:color w:val="E80303"/>
          <w:sz w:val="24"/>
          <w:szCs w:val="24"/>
        </w:rPr>
        <w:t>SECCIÓN IV: COSTOS DEL ARBITRAJE</w:t>
      </w:r>
    </w:p>
    <w:p w14:paraId="66A2547B" w14:textId="77777777" w:rsidR="00CD23AE" w:rsidRDefault="00127FFC">
      <w:pPr>
        <w:rPr>
          <w:rFonts w:ascii="Arial" w:eastAsia="Arial" w:hAnsi="Arial" w:cs="Arial"/>
          <w:sz w:val="24"/>
          <w:szCs w:val="24"/>
        </w:rPr>
        <w:sectPr w:rsidR="00CD23AE">
          <w:headerReference w:type="default" r:id="rId11"/>
          <w:footerReference w:type="default" r:id="rId12"/>
          <w:pgSz w:w="11910" w:h="16850"/>
          <w:pgMar w:top="1417" w:right="1701" w:bottom="1417" w:left="1701" w:header="0" w:footer="0" w:gutter="0"/>
          <w:cols w:space="720"/>
        </w:sectPr>
      </w:pPr>
      <w:r>
        <w:rPr>
          <w:rFonts w:ascii="Arial" w:eastAsia="Arial" w:hAnsi="Arial" w:cs="Arial"/>
          <w:sz w:val="24"/>
          <w:szCs w:val="24"/>
        </w:rPr>
        <w:t>DISPOSICIONES COMPLEMENTARIAS Y FINALES DISPOSICIONES TRANSITORIAS</w:t>
      </w:r>
    </w:p>
    <w:p w14:paraId="7C8FD3B6" w14:textId="77777777" w:rsidR="00CD23AE" w:rsidRDefault="00127FFC">
      <w:pPr>
        <w:pStyle w:val="Ttulo5"/>
        <w:spacing w:before="0"/>
        <w:ind w:left="0"/>
        <w:jc w:val="center"/>
        <w:rPr>
          <w:rFonts w:ascii="Arial" w:eastAsia="Arial" w:hAnsi="Arial" w:cs="Arial"/>
          <w:color w:val="E80303"/>
          <w:sz w:val="28"/>
          <w:szCs w:val="28"/>
        </w:rPr>
      </w:pPr>
      <w:r>
        <w:rPr>
          <w:rFonts w:ascii="Arial" w:eastAsia="Arial" w:hAnsi="Arial" w:cs="Arial"/>
          <w:color w:val="E80303"/>
          <w:sz w:val="28"/>
          <w:szCs w:val="28"/>
        </w:rPr>
        <w:lastRenderedPageBreak/>
        <w:t>GLOSARIO DE TÉRMINOS</w:t>
      </w:r>
    </w:p>
    <w:p w14:paraId="34B9F5F0" w14:textId="77777777" w:rsidR="00CD23AE" w:rsidRDefault="00127FFC" w:rsidP="00756EE5">
      <w:pPr>
        <w:pStyle w:val="Ttulo5"/>
        <w:spacing w:before="247"/>
        <w:jc w:val="both"/>
        <w:rPr>
          <w:rFonts w:ascii="Arial" w:eastAsia="Arial" w:hAnsi="Arial" w:cs="Arial"/>
          <w:sz w:val="24"/>
          <w:szCs w:val="24"/>
        </w:rPr>
      </w:pPr>
      <w:r>
        <w:rPr>
          <w:rFonts w:ascii="Arial" w:eastAsia="Arial" w:hAnsi="Arial" w:cs="Arial"/>
          <w:sz w:val="24"/>
          <w:szCs w:val="24"/>
        </w:rPr>
        <w:t>ÁRBITRO</w:t>
      </w:r>
    </w:p>
    <w:p w14:paraId="5D1CC5BD" w14:textId="77777777" w:rsidR="00CD23AE" w:rsidRDefault="00127FFC">
      <w:pPr>
        <w:spacing w:before="82" w:line="276" w:lineRule="auto"/>
        <w:ind w:left="482" w:right="197"/>
        <w:jc w:val="both"/>
        <w:rPr>
          <w:rFonts w:ascii="Arial" w:eastAsia="Arial" w:hAnsi="Arial" w:cs="Arial"/>
        </w:rPr>
      </w:pPr>
      <w:r>
        <w:rPr>
          <w:rFonts w:ascii="Arial" w:eastAsia="Arial" w:hAnsi="Arial" w:cs="Arial"/>
        </w:rPr>
        <w:t>Aquella persona que integra un tribunal arbitral o se ha constituido como árbitro único, cuya función es, a través de las diversas actuaciones arbitrales, resolver la controversia en derecho o en conciencia. Los árbitros se rigen por los principios y derechos señalados en el artículo 3° de la Ley de Arbitraje.</w:t>
      </w:r>
    </w:p>
    <w:p w14:paraId="33DABD6D" w14:textId="77777777" w:rsidR="00CD23AE" w:rsidRDefault="00127FFC" w:rsidP="00756EE5">
      <w:pPr>
        <w:pStyle w:val="Ttulo5"/>
        <w:spacing w:before="349"/>
        <w:jc w:val="both"/>
        <w:rPr>
          <w:rFonts w:ascii="Arial" w:eastAsia="Arial" w:hAnsi="Arial" w:cs="Arial"/>
          <w:sz w:val="24"/>
          <w:szCs w:val="24"/>
        </w:rPr>
      </w:pPr>
      <w:r>
        <w:rPr>
          <w:rFonts w:ascii="Arial" w:eastAsia="Arial" w:hAnsi="Arial" w:cs="Arial"/>
          <w:sz w:val="24"/>
          <w:szCs w:val="24"/>
        </w:rPr>
        <w:t>CENTRO</w:t>
      </w:r>
    </w:p>
    <w:p w14:paraId="69A1C94D" w14:textId="77777777" w:rsidR="00CD23AE" w:rsidRDefault="00127FFC">
      <w:pPr>
        <w:spacing w:before="81" w:line="276" w:lineRule="auto"/>
        <w:ind w:left="482"/>
        <w:jc w:val="both"/>
        <w:rPr>
          <w:rFonts w:ascii="Arial" w:eastAsia="Arial" w:hAnsi="Arial" w:cs="Arial"/>
        </w:rPr>
      </w:pPr>
      <w:r>
        <w:rPr>
          <w:rFonts w:ascii="Arial" w:eastAsia="Arial" w:hAnsi="Arial" w:cs="Arial"/>
        </w:rPr>
        <w:t>La Sección de Arbitraje de CENTRO DE ARBITRAJE, PERITAJE Y JUNTA DE RESOLUCION DE DISPUTAS DEL CIP - UCAYALI</w:t>
      </w:r>
    </w:p>
    <w:p w14:paraId="7EB46C7B" w14:textId="77777777" w:rsidR="00CD23AE" w:rsidRDefault="00CD23AE">
      <w:pPr>
        <w:pBdr>
          <w:top w:val="nil"/>
          <w:left w:val="nil"/>
          <w:bottom w:val="nil"/>
          <w:right w:val="nil"/>
          <w:between w:val="nil"/>
        </w:pBdr>
        <w:spacing w:before="25"/>
        <w:jc w:val="both"/>
        <w:rPr>
          <w:rFonts w:ascii="Arial" w:eastAsia="Arial" w:hAnsi="Arial" w:cs="Arial"/>
          <w:color w:val="000000"/>
          <w:sz w:val="32"/>
          <w:szCs w:val="32"/>
        </w:rPr>
      </w:pPr>
    </w:p>
    <w:p w14:paraId="6AB29EE5" w14:textId="1C0076F6" w:rsidR="00CD23AE" w:rsidRDefault="00127FFC">
      <w:pPr>
        <w:pStyle w:val="Ttulo5"/>
        <w:ind w:left="512"/>
        <w:jc w:val="both"/>
        <w:rPr>
          <w:rFonts w:ascii="Arial" w:eastAsia="Arial" w:hAnsi="Arial" w:cs="Arial"/>
          <w:sz w:val="24"/>
          <w:szCs w:val="24"/>
        </w:rPr>
      </w:pPr>
      <w:r w:rsidRPr="00E17893">
        <w:rPr>
          <w:rFonts w:ascii="Arial" w:eastAsia="Arial" w:hAnsi="Arial" w:cs="Arial"/>
          <w:sz w:val="24"/>
          <w:szCs w:val="24"/>
        </w:rPr>
        <w:t xml:space="preserve">SISTEMA </w:t>
      </w:r>
      <w:r w:rsidR="00E17893">
        <w:rPr>
          <w:rFonts w:ascii="Arial" w:eastAsia="Arial" w:hAnsi="Arial" w:cs="Arial"/>
          <w:sz w:val="24"/>
          <w:szCs w:val="24"/>
        </w:rPr>
        <w:t>INTEGRADO DE MSEA DE PARTES VIRTUAL</w:t>
      </w:r>
    </w:p>
    <w:p w14:paraId="6186ACE7" w14:textId="77777777" w:rsidR="00CD23AE" w:rsidRDefault="00127FFC">
      <w:pPr>
        <w:spacing w:before="88" w:line="276" w:lineRule="auto"/>
        <w:ind w:left="512" w:right="167"/>
        <w:jc w:val="both"/>
        <w:rPr>
          <w:rFonts w:ascii="Arial" w:eastAsia="Arial" w:hAnsi="Arial" w:cs="Arial"/>
        </w:rPr>
      </w:pPr>
      <w:r>
        <w:rPr>
          <w:rFonts w:ascii="Arial" w:eastAsia="Arial" w:hAnsi="Arial" w:cs="Arial"/>
        </w:rPr>
        <w:t>Sistema integrado por la Mesa de Partes Virtual y la Casilla Electrónica, a través del cual se realizan y notifican las actuaciones arbitrales.</w:t>
      </w:r>
    </w:p>
    <w:p w14:paraId="06A40179" w14:textId="77777777" w:rsidR="00CD23AE" w:rsidRDefault="00CD23AE">
      <w:pPr>
        <w:pBdr>
          <w:top w:val="nil"/>
          <w:left w:val="nil"/>
          <w:bottom w:val="nil"/>
          <w:right w:val="nil"/>
          <w:between w:val="nil"/>
        </w:pBdr>
        <w:spacing w:before="20"/>
        <w:jc w:val="both"/>
        <w:rPr>
          <w:rFonts w:ascii="Arial" w:eastAsia="Arial" w:hAnsi="Arial" w:cs="Arial"/>
          <w:color w:val="000000"/>
          <w:sz w:val="24"/>
          <w:szCs w:val="24"/>
        </w:rPr>
      </w:pPr>
    </w:p>
    <w:p w14:paraId="5CD9337B" w14:textId="77777777" w:rsidR="00CD23AE" w:rsidRDefault="00127FFC" w:rsidP="00756EE5">
      <w:pPr>
        <w:pStyle w:val="Ttulo5"/>
        <w:spacing w:before="0"/>
        <w:jc w:val="both"/>
        <w:rPr>
          <w:rFonts w:ascii="Arial" w:eastAsia="Arial" w:hAnsi="Arial" w:cs="Arial"/>
          <w:sz w:val="24"/>
          <w:szCs w:val="24"/>
        </w:rPr>
      </w:pPr>
      <w:r>
        <w:rPr>
          <w:rFonts w:ascii="Arial" w:eastAsia="Arial" w:hAnsi="Arial" w:cs="Arial"/>
          <w:sz w:val="24"/>
          <w:szCs w:val="24"/>
        </w:rPr>
        <w:t>CONSOLIDACIÓN</w:t>
      </w:r>
    </w:p>
    <w:p w14:paraId="1398DC30" w14:textId="77777777" w:rsidR="00CD23AE" w:rsidRDefault="00127FFC">
      <w:pPr>
        <w:spacing w:before="88" w:line="276" w:lineRule="auto"/>
        <w:ind w:left="482" w:right="197"/>
        <w:jc w:val="both"/>
        <w:rPr>
          <w:rFonts w:ascii="Arial" w:eastAsia="Arial" w:hAnsi="Arial" w:cs="Arial"/>
        </w:rPr>
      </w:pPr>
      <w:r>
        <w:rPr>
          <w:rFonts w:ascii="Arial" w:eastAsia="Arial" w:hAnsi="Arial" w:cs="Arial"/>
        </w:rPr>
        <w:t>La acumulación de arbitrajes en uno solo en el que se resolverán diversas controversias entre las mismas partes.</w:t>
      </w:r>
    </w:p>
    <w:p w14:paraId="6A43E37E" w14:textId="77777777" w:rsidR="00CD23AE" w:rsidRDefault="00127FFC" w:rsidP="00756EE5">
      <w:pPr>
        <w:pStyle w:val="Ttulo5"/>
        <w:spacing w:before="262"/>
        <w:jc w:val="both"/>
        <w:rPr>
          <w:rFonts w:ascii="Arial" w:eastAsia="Arial" w:hAnsi="Arial" w:cs="Arial"/>
          <w:sz w:val="24"/>
          <w:szCs w:val="24"/>
        </w:rPr>
      </w:pPr>
      <w:r>
        <w:rPr>
          <w:rFonts w:ascii="Arial" w:eastAsia="Arial" w:hAnsi="Arial" w:cs="Arial"/>
          <w:sz w:val="24"/>
          <w:szCs w:val="24"/>
        </w:rPr>
        <w:t>CONVENIO ARBITRAL</w:t>
      </w:r>
    </w:p>
    <w:p w14:paraId="497B529B" w14:textId="77777777" w:rsidR="00CD23AE" w:rsidRDefault="00127FFC">
      <w:pPr>
        <w:spacing w:before="82" w:line="276" w:lineRule="auto"/>
        <w:ind w:left="482" w:right="197"/>
        <w:jc w:val="both"/>
        <w:rPr>
          <w:rFonts w:ascii="Arial" w:eastAsia="Arial" w:hAnsi="Arial" w:cs="Arial"/>
        </w:rPr>
      </w:pPr>
      <w:r>
        <w:rPr>
          <w:rFonts w:ascii="Arial" w:eastAsia="Arial" w:hAnsi="Arial" w:cs="Arial"/>
        </w:rPr>
        <w:t>Acuerdo por el que las partes deciden someter a arbitraje un litigio o controversia, derivados o relacionados con un acto jurídico, sea o no materia de un proceso judicial.</w:t>
      </w:r>
    </w:p>
    <w:p w14:paraId="1B1CEB7D" w14:textId="77777777" w:rsidR="00CD23AE" w:rsidRDefault="00127FFC" w:rsidP="00756EE5">
      <w:pPr>
        <w:pStyle w:val="Ttulo5"/>
        <w:spacing w:before="352"/>
        <w:jc w:val="both"/>
        <w:rPr>
          <w:rFonts w:ascii="Arial" w:eastAsia="Arial" w:hAnsi="Arial" w:cs="Arial"/>
          <w:sz w:val="24"/>
          <w:szCs w:val="24"/>
        </w:rPr>
      </w:pPr>
      <w:r>
        <w:rPr>
          <w:rFonts w:ascii="Arial" w:eastAsia="Arial" w:hAnsi="Arial" w:cs="Arial"/>
          <w:sz w:val="24"/>
          <w:szCs w:val="24"/>
        </w:rPr>
        <w:t>CONSEJO SUPERIOR DE ARBITRAJE</w:t>
      </w:r>
    </w:p>
    <w:p w14:paraId="3F82D275" w14:textId="77777777" w:rsidR="00CD23AE" w:rsidRDefault="00127FFC">
      <w:pPr>
        <w:spacing w:before="82" w:line="276" w:lineRule="auto"/>
        <w:ind w:left="482" w:right="248"/>
        <w:jc w:val="both"/>
        <w:rPr>
          <w:rFonts w:ascii="Arial" w:eastAsia="Arial" w:hAnsi="Arial" w:cs="Arial"/>
        </w:rPr>
      </w:pPr>
      <w:r>
        <w:rPr>
          <w:rFonts w:ascii="Arial" w:eastAsia="Arial" w:hAnsi="Arial" w:cs="Arial"/>
        </w:rPr>
        <w:t>Órgano del Centro integrado conforme a los estatutos del Centro, máximo ente de gestión administrativa del Centro.</w:t>
      </w:r>
    </w:p>
    <w:p w14:paraId="18D0A740" w14:textId="77777777" w:rsidR="00CD23AE" w:rsidRDefault="00127FFC" w:rsidP="00756EE5">
      <w:pPr>
        <w:pStyle w:val="Ttulo5"/>
        <w:spacing w:before="352"/>
        <w:jc w:val="both"/>
        <w:rPr>
          <w:rFonts w:ascii="Arial" w:eastAsia="Arial" w:hAnsi="Arial" w:cs="Arial"/>
          <w:sz w:val="24"/>
          <w:szCs w:val="24"/>
        </w:rPr>
      </w:pPr>
      <w:r>
        <w:rPr>
          <w:rFonts w:ascii="Arial" w:eastAsia="Arial" w:hAnsi="Arial" w:cs="Arial"/>
          <w:sz w:val="24"/>
          <w:szCs w:val="24"/>
        </w:rPr>
        <w:t>GESTIÓN DEL ARBITRAJE</w:t>
      </w:r>
    </w:p>
    <w:p w14:paraId="17AD0670" w14:textId="77777777" w:rsidR="00CD23AE" w:rsidRDefault="00127FFC">
      <w:pPr>
        <w:spacing w:before="81"/>
        <w:ind w:left="482"/>
        <w:jc w:val="both"/>
        <w:rPr>
          <w:rFonts w:ascii="Arial" w:eastAsia="Arial" w:hAnsi="Arial" w:cs="Arial"/>
        </w:rPr>
      </w:pPr>
      <w:r>
        <w:rPr>
          <w:rFonts w:ascii="Arial" w:eastAsia="Arial" w:hAnsi="Arial" w:cs="Arial"/>
        </w:rPr>
        <w:t>Referido a la organización y administración de los arbitrajes.</w:t>
      </w:r>
    </w:p>
    <w:p w14:paraId="63DCB567" w14:textId="77777777" w:rsidR="00CD23AE" w:rsidRDefault="00CD23AE">
      <w:pPr>
        <w:pBdr>
          <w:top w:val="nil"/>
          <w:left w:val="nil"/>
          <w:bottom w:val="nil"/>
          <w:right w:val="nil"/>
          <w:between w:val="nil"/>
        </w:pBdr>
        <w:spacing w:before="29"/>
        <w:jc w:val="both"/>
        <w:rPr>
          <w:rFonts w:ascii="Arial" w:eastAsia="Arial" w:hAnsi="Arial" w:cs="Arial"/>
          <w:color w:val="000000"/>
          <w:sz w:val="32"/>
          <w:szCs w:val="32"/>
        </w:rPr>
      </w:pPr>
    </w:p>
    <w:p w14:paraId="25280B88" w14:textId="77777777" w:rsidR="00CD23AE" w:rsidRDefault="00127FFC" w:rsidP="00756EE5">
      <w:pPr>
        <w:pStyle w:val="Ttulo5"/>
        <w:jc w:val="both"/>
        <w:rPr>
          <w:rFonts w:ascii="Arial" w:eastAsia="Arial" w:hAnsi="Arial" w:cs="Arial"/>
          <w:sz w:val="24"/>
          <w:szCs w:val="24"/>
        </w:rPr>
      </w:pPr>
      <w:r>
        <w:rPr>
          <w:rFonts w:ascii="Arial" w:eastAsia="Arial" w:hAnsi="Arial" w:cs="Arial"/>
          <w:sz w:val="24"/>
          <w:szCs w:val="24"/>
        </w:rPr>
        <w:t>LEY DE ARBITRAJE</w:t>
      </w:r>
    </w:p>
    <w:p w14:paraId="0C4F3574" w14:textId="77777777" w:rsidR="00CD23AE" w:rsidRDefault="00127FFC">
      <w:pPr>
        <w:spacing w:before="81"/>
        <w:ind w:left="482"/>
        <w:jc w:val="both"/>
        <w:rPr>
          <w:rFonts w:ascii="Arial" w:eastAsia="Arial" w:hAnsi="Arial" w:cs="Arial"/>
        </w:rPr>
      </w:pPr>
      <w:r>
        <w:rPr>
          <w:rFonts w:ascii="Arial" w:eastAsia="Arial" w:hAnsi="Arial" w:cs="Arial"/>
        </w:rPr>
        <w:t>Decreto Legislativo N°1071 o la norma que la modifique o sustituya.</w:t>
      </w:r>
    </w:p>
    <w:p w14:paraId="55C25CD6" w14:textId="77777777" w:rsidR="00CD23AE" w:rsidRDefault="00CD23AE">
      <w:pPr>
        <w:pBdr>
          <w:top w:val="nil"/>
          <w:left w:val="nil"/>
          <w:bottom w:val="nil"/>
          <w:right w:val="nil"/>
          <w:between w:val="nil"/>
        </w:pBdr>
        <w:spacing w:before="29"/>
        <w:jc w:val="both"/>
        <w:rPr>
          <w:rFonts w:ascii="Arial" w:eastAsia="Arial" w:hAnsi="Arial" w:cs="Arial"/>
          <w:color w:val="000000"/>
          <w:sz w:val="32"/>
          <w:szCs w:val="32"/>
        </w:rPr>
      </w:pPr>
    </w:p>
    <w:p w14:paraId="1C705257" w14:textId="77777777" w:rsidR="00CD23AE" w:rsidRDefault="00127FFC" w:rsidP="00756EE5">
      <w:pPr>
        <w:pStyle w:val="Ttulo5"/>
        <w:jc w:val="both"/>
        <w:rPr>
          <w:rFonts w:ascii="Arial" w:eastAsia="Arial" w:hAnsi="Arial" w:cs="Arial"/>
          <w:sz w:val="24"/>
          <w:szCs w:val="24"/>
        </w:rPr>
      </w:pPr>
      <w:r>
        <w:rPr>
          <w:rFonts w:ascii="Arial" w:eastAsia="Arial" w:hAnsi="Arial" w:cs="Arial"/>
          <w:sz w:val="24"/>
          <w:szCs w:val="24"/>
        </w:rPr>
        <w:t>TRIBUNAL ARBITRAL</w:t>
      </w:r>
    </w:p>
    <w:p w14:paraId="1C1389DB" w14:textId="77777777" w:rsidR="00CD23AE" w:rsidRDefault="00127FFC">
      <w:pPr>
        <w:spacing w:before="81" w:line="276" w:lineRule="auto"/>
        <w:ind w:left="482"/>
        <w:jc w:val="both"/>
        <w:rPr>
          <w:rFonts w:ascii="Arial" w:eastAsia="Arial" w:hAnsi="Arial" w:cs="Arial"/>
        </w:rPr>
        <w:sectPr w:rsidR="00CD23AE">
          <w:headerReference w:type="default" r:id="rId13"/>
          <w:footerReference w:type="default" r:id="rId14"/>
          <w:pgSz w:w="11910" w:h="16850"/>
          <w:pgMar w:top="1560" w:right="992" w:bottom="800" w:left="708" w:header="767" w:footer="605" w:gutter="0"/>
          <w:pgNumType w:start="5"/>
          <w:cols w:space="720"/>
        </w:sectPr>
      </w:pPr>
      <w:r>
        <w:rPr>
          <w:rFonts w:ascii="Arial" w:eastAsia="Arial" w:hAnsi="Arial" w:cs="Arial"/>
        </w:rPr>
        <w:t>Compuesto por uno o más árbitros para resolver una controversia sometida a arbitraje en el Centro.</w:t>
      </w:r>
    </w:p>
    <w:p w14:paraId="349C5D84" w14:textId="77777777" w:rsidR="00CD23AE" w:rsidRDefault="00127FFC">
      <w:pPr>
        <w:pStyle w:val="Ttulo5"/>
        <w:ind w:left="0"/>
        <w:jc w:val="both"/>
        <w:rPr>
          <w:rFonts w:ascii="Arial" w:eastAsia="Arial" w:hAnsi="Arial" w:cs="Arial"/>
          <w:sz w:val="24"/>
          <w:szCs w:val="24"/>
        </w:rPr>
      </w:pPr>
      <w:r>
        <w:rPr>
          <w:rFonts w:ascii="Arial" w:eastAsia="Arial" w:hAnsi="Arial" w:cs="Arial"/>
          <w:sz w:val="24"/>
          <w:szCs w:val="24"/>
        </w:rPr>
        <w:lastRenderedPageBreak/>
        <w:t xml:space="preserve">       SOLICITUD DE ARBITRAJE</w:t>
      </w:r>
    </w:p>
    <w:p w14:paraId="6DBC6B50" w14:textId="77777777" w:rsidR="00CD23AE" w:rsidRDefault="00127FFC">
      <w:pPr>
        <w:spacing w:before="81" w:line="276" w:lineRule="auto"/>
        <w:ind w:left="482" w:right="197"/>
        <w:jc w:val="both"/>
        <w:rPr>
          <w:rFonts w:ascii="Arial" w:eastAsia="Arial" w:hAnsi="Arial" w:cs="Arial"/>
        </w:rPr>
      </w:pPr>
      <w:r>
        <w:rPr>
          <w:rFonts w:ascii="Arial" w:eastAsia="Arial" w:hAnsi="Arial" w:cs="Arial"/>
        </w:rPr>
        <w:t>La que se formula ante la Secretaría General del Centro para solicitar que se resuelva una controversia mediante arbitraje.</w:t>
      </w:r>
    </w:p>
    <w:p w14:paraId="706DDE83" w14:textId="77777777" w:rsidR="00CD23AE" w:rsidRDefault="00CD23AE">
      <w:pPr>
        <w:pBdr>
          <w:top w:val="nil"/>
          <w:left w:val="nil"/>
          <w:bottom w:val="nil"/>
          <w:right w:val="nil"/>
          <w:between w:val="nil"/>
        </w:pBdr>
        <w:spacing w:before="3"/>
        <w:jc w:val="both"/>
        <w:rPr>
          <w:rFonts w:ascii="Arial" w:eastAsia="Arial" w:hAnsi="Arial" w:cs="Arial"/>
          <w:color w:val="000000"/>
          <w:sz w:val="23"/>
          <w:szCs w:val="23"/>
        </w:rPr>
      </w:pPr>
    </w:p>
    <w:p w14:paraId="41FE2A92" w14:textId="77777777" w:rsidR="00CD23AE" w:rsidRDefault="00127FFC" w:rsidP="00756EE5">
      <w:pPr>
        <w:pStyle w:val="Ttulo5"/>
        <w:spacing w:before="0"/>
        <w:jc w:val="both"/>
        <w:rPr>
          <w:rFonts w:ascii="Arial" w:eastAsia="Arial" w:hAnsi="Arial" w:cs="Arial"/>
          <w:sz w:val="24"/>
          <w:szCs w:val="24"/>
        </w:rPr>
      </w:pPr>
      <w:r>
        <w:rPr>
          <w:rFonts w:ascii="Arial" w:eastAsia="Arial" w:hAnsi="Arial" w:cs="Arial"/>
          <w:sz w:val="24"/>
          <w:szCs w:val="24"/>
        </w:rPr>
        <w:t>ACTUACIONES ARBITRALES</w:t>
      </w:r>
    </w:p>
    <w:p w14:paraId="4EB3FAEE" w14:textId="77777777" w:rsidR="00CD23AE" w:rsidRDefault="00127FFC">
      <w:pPr>
        <w:spacing w:before="81" w:line="276" w:lineRule="auto"/>
        <w:ind w:left="482" w:right="197"/>
        <w:jc w:val="both"/>
        <w:rPr>
          <w:rFonts w:ascii="Arial" w:eastAsia="Arial" w:hAnsi="Arial" w:cs="Arial"/>
        </w:rPr>
      </w:pPr>
      <w:r>
        <w:rPr>
          <w:rFonts w:ascii="Arial" w:eastAsia="Arial" w:hAnsi="Arial" w:cs="Arial"/>
        </w:rPr>
        <w:t>La secuencia de actos realizados por las partes, el tribunal arbitral y el Centro que se encuentran regulados por este Reglamento con el fin de resolver una determinada controversia sometida a arbitraje.</w:t>
      </w:r>
    </w:p>
    <w:p w14:paraId="69AE58C5" w14:textId="77777777" w:rsidR="00CD23AE" w:rsidRDefault="00CD23AE">
      <w:pPr>
        <w:pBdr>
          <w:top w:val="nil"/>
          <w:left w:val="nil"/>
          <w:bottom w:val="nil"/>
          <w:right w:val="nil"/>
          <w:between w:val="nil"/>
        </w:pBdr>
        <w:spacing w:before="47"/>
        <w:jc w:val="both"/>
        <w:rPr>
          <w:rFonts w:ascii="Arial" w:eastAsia="Arial" w:hAnsi="Arial" w:cs="Arial"/>
          <w:color w:val="000000"/>
          <w:sz w:val="23"/>
          <w:szCs w:val="23"/>
        </w:rPr>
      </w:pPr>
    </w:p>
    <w:p w14:paraId="60907560" w14:textId="77777777" w:rsidR="00CD23AE" w:rsidRDefault="00127FFC" w:rsidP="00756EE5">
      <w:pPr>
        <w:pStyle w:val="Ttulo5"/>
        <w:jc w:val="both"/>
        <w:rPr>
          <w:rFonts w:ascii="Arial" w:eastAsia="Arial" w:hAnsi="Arial" w:cs="Arial"/>
          <w:sz w:val="24"/>
          <w:szCs w:val="24"/>
        </w:rPr>
      </w:pPr>
      <w:r>
        <w:rPr>
          <w:rFonts w:ascii="Arial" w:eastAsia="Arial" w:hAnsi="Arial" w:cs="Arial"/>
          <w:sz w:val="24"/>
          <w:szCs w:val="24"/>
        </w:rPr>
        <w:t>REGLAMENTOS</w:t>
      </w:r>
    </w:p>
    <w:p w14:paraId="20F3CEBA" w14:textId="77777777" w:rsidR="00CD23AE" w:rsidRDefault="00127FFC">
      <w:pPr>
        <w:spacing w:before="81" w:line="276" w:lineRule="auto"/>
        <w:ind w:left="482" w:right="197"/>
        <w:jc w:val="both"/>
        <w:rPr>
          <w:rFonts w:ascii="Arial" w:eastAsia="Arial" w:hAnsi="Arial" w:cs="Arial"/>
        </w:rPr>
      </w:pPr>
      <w:r>
        <w:rPr>
          <w:rFonts w:ascii="Arial" w:eastAsia="Arial" w:hAnsi="Arial" w:cs="Arial"/>
        </w:rPr>
        <w:t xml:space="preserve">El Reglamento de Arbitraje de la Sección de Arbitraje de CENTRO DE ARBITRAJE, PERITAJE Y JUNTA DE RESOLUCIÓN DE DISPUTAS DEL CIP - UCAYALI (en adelante, el Reglamento), Código de Ética de CENTRO DE ARBITRAJE, PERITAJE Y JUNTA DE RESOLUCIÓN DE DISPUTAS DEL CIP - UCAYALI (en adelante, el Código de Ética) y demás normativa interna aprobada por el órgano competente. </w:t>
      </w:r>
    </w:p>
    <w:p w14:paraId="444E69CC" w14:textId="77777777" w:rsidR="00CD23AE" w:rsidRDefault="00CD23AE">
      <w:pPr>
        <w:pBdr>
          <w:top w:val="nil"/>
          <w:left w:val="nil"/>
          <w:bottom w:val="nil"/>
          <w:right w:val="nil"/>
          <w:between w:val="nil"/>
        </w:pBdr>
        <w:jc w:val="both"/>
        <w:rPr>
          <w:rFonts w:ascii="Arial" w:eastAsia="Arial" w:hAnsi="Arial" w:cs="Arial"/>
          <w:color w:val="000000"/>
          <w:sz w:val="32"/>
          <w:szCs w:val="32"/>
        </w:rPr>
      </w:pPr>
    </w:p>
    <w:p w14:paraId="0F3D81BE" w14:textId="77777777" w:rsidR="00CD23AE" w:rsidRDefault="00CD23AE">
      <w:pPr>
        <w:pBdr>
          <w:top w:val="nil"/>
          <w:left w:val="nil"/>
          <w:bottom w:val="nil"/>
          <w:right w:val="nil"/>
          <w:between w:val="nil"/>
        </w:pBdr>
        <w:jc w:val="both"/>
        <w:rPr>
          <w:rFonts w:ascii="Arial" w:eastAsia="Arial" w:hAnsi="Arial" w:cs="Arial"/>
          <w:color w:val="000000"/>
          <w:sz w:val="32"/>
          <w:szCs w:val="32"/>
        </w:rPr>
      </w:pPr>
    </w:p>
    <w:p w14:paraId="45A70634" w14:textId="77777777" w:rsidR="00CD23AE" w:rsidRDefault="00CD23AE">
      <w:pPr>
        <w:pBdr>
          <w:top w:val="nil"/>
          <w:left w:val="nil"/>
          <w:bottom w:val="nil"/>
          <w:right w:val="nil"/>
          <w:between w:val="nil"/>
        </w:pBdr>
        <w:jc w:val="both"/>
        <w:rPr>
          <w:rFonts w:ascii="Arial" w:eastAsia="Arial" w:hAnsi="Arial" w:cs="Arial"/>
          <w:color w:val="000000"/>
          <w:sz w:val="32"/>
          <w:szCs w:val="32"/>
        </w:rPr>
      </w:pPr>
    </w:p>
    <w:p w14:paraId="33A5CADD" w14:textId="77777777" w:rsidR="00CD23AE" w:rsidRDefault="00CD23AE">
      <w:pPr>
        <w:pBdr>
          <w:top w:val="nil"/>
          <w:left w:val="nil"/>
          <w:bottom w:val="nil"/>
          <w:right w:val="nil"/>
          <w:between w:val="nil"/>
        </w:pBdr>
        <w:spacing w:before="61"/>
        <w:jc w:val="both"/>
        <w:rPr>
          <w:rFonts w:ascii="Arial" w:eastAsia="Arial" w:hAnsi="Arial" w:cs="Arial"/>
          <w:color w:val="000000"/>
          <w:sz w:val="32"/>
          <w:szCs w:val="32"/>
        </w:rPr>
      </w:pPr>
    </w:p>
    <w:p w14:paraId="7A644F2E" w14:textId="77777777" w:rsidR="00CD23AE" w:rsidRDefault="00CD23AE">
      <w:pPr>
        <w:rPr>
          <w:rFonts w:ascii="Arial" w:eastAsia="Arial" w:hAnsi="Arial" w:cs="Arial"/>
          <w:sz w:val="32"/>
          <w:szCs w:val="32"/>
        </w:rPr>
      </w:pPr>
    </w:p>
    <w:p w14:paraId="753EA22D" w14:textId="77777777" w:rsidR="00CD23AE" w:rsidRDefault="00127FFC">
      <w:pPr>
        <w:tabs>
          <w:tab w:val="left" w:pos="1996"/>
        </w:tabs>
        <w:rPr>
          <w:rFonts w:ascii="Arial" w:eastAsia="Arial" w:hAnsi="Arial" w:cs="Arial"/>
          <w:color w:val="000000"/>
          <w:sz w:val="32"/>
          <w:szCs w:val="32"/>
        </w:rPr>
      </w:pPr>
      <w:r>
        <w:rPr>
          <w:rFonts w:ascii="Arial" w:eastAsia="Arial" w:hAnsi="Arial" w:cs="Arial"/>
          <w:color w:val="000000"/>
          <w:sz w:val="32"/>
          <w:szCs w:val="32"/>
        </w:rPr>
        <w:tab/>
      </w:r>
    </w:p>
    <w:p w14:paraId="7EE08BF5" w14:textId="77777777" w:rsidR="00CD23AE" w:rsidRDefault="00127FFC">
      <w:pPr>
        <w:tabs>
          <w:tab w:val="left" w:pos="1996"/>
        </w:tabs>
        <w:rPr>
          <w:rFonts w:ascii="Arial" w:eastAsia="Arial" w:hAnsi="Arial" w:cs="Arial"/>
          <w:sz w:val="32"/>
          <w:szCs w:val="32"/>
        </w:rPr>
        <w:sectPr w:rsidR="00CD23AE">
          <w:headerReference w:type="default" r:id="rId15"/>
          <w:footerReference w:type="default" r:id="rId16"/>
          <w:pgSz w:w="11910" w:h="16850"/>
          <w:pgMar w:top="1408" w:right="992" w:bottom="280" w:left="708" w:header="0" w:footer="0" w:gutter="0"/>
          <w:cols w:space="720"/>
        </w:sectPr>
      </w:pPr>
      <w:r>
        <w:rPr>
          <w:rFonts w:ascii="Arial" w:eastAsia="Arial" w:hAnsi="Arial" w:cs="Arial"/>
          <w:sz w:val="32"/>
          <w:szCs w:val="32"/>
        </w:rPr>
        <w:tab/>
      </w:r>
    </w:p>
    <w:p w14:paraId="076640B3" w14:textId="77777777" w:rsidR="00CD23AE" w:rsidRDefault="00127FFC">
      <w:pPr>
        <w:pStyle w:val="Ttulo6"/>
        <w:ind w:left="0"/>
        <w:jc w:val="center"/>
        <w:rPr>
          <w:rFonts w:ascii="Arial" w:eastAsia="Arial" w:hAnsi="Arial" w:cs="Arial"/>
          <w:color w:val="E80303"/>
          <w:sz w:val="28"/>
          <w:szCs w:val="28"/>
        </w:rPr>
      </w:pPr>
      <w:bookmarkStart w:id="0" w:name="_heading=h.lpstmk1xwy3z" w:colFirst="0" w:colLast="0"/>
      <w:bookmarkEnd w:id="0"/>
      <w:r>
        <w:rPr>
          <w:rFonts w:ascii="Arial" w:eastAsia="Arial" w:hAnsi="Arial" w:cs="Arial"/>
          <w:color w:val="E80303"/>
          <w:sz w:val="28"/>
          <w:szCs w:val="28"/>
        </w:rPr>
        <w:lastRenderedPageBreak/>
        <w:t>SECCIÓN I: DISPOSICIONES GENERALES</w:t>
      </w:r>
    </w:p>
    <w:p w14:paraId="78CCCEE4" w14:textId="77777777" w:rsidR="00CD23AE" w:rsidRDefault="00CD23AE">
      <w:pPr>
        <w:pStyle w:val="Ttulo6"/>
        <w:ind w:left="0"/>
        <w:jc w:val="both"/>
        <w:rPr>
          <w:rFonts w:ascii="Calibri" w:eastAsia="Calibri" w:hAnsi="Calibri" w:cs="Calibri"/>
          <w:color w:val="916F41"/>
          <w:sz w:val="36"/>
          <w:szCs w:val="36"/>
        </w:rPr>
      </w:pPr>
      <w:bookmarkStart w:id="1" w:name="_heading=h.oaa3du39i858" w:colFirst="0" w:colLast="0"/>
      <w:bookmarkEnd w:id="1"/>
    </w:p>
    <w:p w14:paraId="642A060C" w14:textId="77777777" w:rsidR="00CD23AE" w:rsidRDefault="00127FFC">
      <w:pPr>
        <w:pStyle w:val="Ttulo6"/>
        <w:ind w:left="425"/>
        <w:jc w:val="both"/>
        <w:rPr>
          <w:rFonts w:ascii="Arial" w:eastAsia="Arial" w:hAnsi="Arial" w:cs="Arial"/>
          <w:color w:val="E80303"/>
          <w:sz w:val="24"/>
          <w:szCs w:val="24"/>
        </w:rPr>
      </w:pPr>
      <w:bookmarkStart w:id="2" w:name="_heading=h.bccjm5f2zppp" w:colFirst="0" w:colLast="0"/>
      <w:bookmarkEnd w:id="2"/>
      <w:r>
        <w:rPr>
          <w:rFonts w:ascii="Arial" w:eastAsia="Arial" w:hAnsi="Arial" w:cs="Arial"/>
          <w:color w:val="E80303"/>
          <w:sz w:val="24"/>
          <w:szCs w:val="24"/>
        </w:rPr>
        <w:t>CAPÍTULO I: ÁMBITO DE APLICACIÓN</w:t>
      </w:r>
    </w:p>
    <w:p w14:paraId="3B36F910" w14:textId="77777777" w:rsidR="00CD23AE" w:rsidRDefault="00127FFC">
      <w:pPr>
        <w:pStyle w:val="Ttulo6"/>
        <w:spacing w:before="369"/>
        <w:ind w:left="426"/>
        <w:jc w:val="both"/>
        <w:rPr>
          <w:rFonts w:ascii="Arial" w:eastAsia="Arial" w:hAnsi="Arial" w:cs="Arial"/>
          <w:sz w:val="24"/>
          <w:szCs w:val="24"/>
        </w:rPr>
      </w:pPr>
      <w:r>
        <w:rPr>
          <w:rFonts w:ascii="Arial" w:eastAsia="Arial" w:hAnsi="Arial" w:cs="Arial"/>
          <w:color w:val="916F41"/>
          <w:sz w:val="24"/>
          <w:szCs w:val="24"/>
        </w:rPr>
        <w:t xml:space="preserve">ARTÍCULO 1°. - </w:t>
      </w:r>
      <w:r>
        <w:rPr>
          <w:rFonts w:ascii="Arial" w:eastAsia="Arial" w:hAnsi="Arial" w:cs="Arial"/>
          <w:sz w:val="24"/>
          <w:szCs w:val="24"/>
        </w:rPr>
        <w:t xml:space="preserve">ÁMBITO DE APLICACIÓN DEL REGLAMENTO </w:t>
      </w:r>
    </w:p>
    <w:p w14:paraId="46FDBA92" w14:textId="77777777" w:rsidR="00CD23AE" w:rsidRDefault="00127FFC">
      <w:pPr>
        <w:pStyle w:val="Ttulo6"/>
        <w:numPr>
          <w:ilvl w:val="0"/>
          <w:numId w:val="82"/>
        </w:numPr>
        <w:spacing w:before="100" w:line="276" w:lineRule="auto"/>
        <w:ind w:left="850" w:hanging="283"/>
        <w:jc w:val="both"/>
        <w:rPr>
          <w:rFonts w:ascii="Arial" w:eastAsia="Arial" w:hAnsi="Arial" w:cs="Arial"/>
          <w:b w:val="0"/>
          <w:sz w:val="22"/>
          <w:szCs w:val="22"/>
        </w:rPr>
      </w:pPr>
      <w:r>
        <w:rPr>
          <w:rFonts w:ascii="Arial" w:eastAsia="Arial" w:hAnsi="Arial" w:cs="Arial"/>
          <w:b w:val="0"/>
          <w:sz w:val="22"/>
          <w:szCs w:val="22"/>
        </w:rPr>
        <w:t>Este Reglamento será aplicable a todos los casos en los que las partes hayan acordado o acuerden someter sus controversias presentes o futuras al arbitraje gestionado por el Centro, o hayan incorporado o incorporen en su contrato la cláusula de arbitraje del Centro.</w:t>
      </w:r>
    </w:p>
    <w:p w14:paraId="0EEB5220" w14:textId="77777777" w:rsidR="00CD23AE" w:rsidRDefault="00CD23AE">
      <w:pPr>
        <w:ind w:left="850" w:hanging="283"/>
      </w:pPr>
    </w:p>
    <w:p w14:paraId="74BA5C5B" w14:textId="77777777" w:rsidR="00CD23AE" w:rsidRDefault="00127FFC">
      <w:pPr>
        <w:pStyle w:val="Ttulo6"/>
        <w:numPr>
          <w:ilvl w:val="0"/>
          <w:numId w:val="82"/>
        </w:numPr>
        <w:spacing w:before="100" w:line="276" w:lineRule="auto"/>
        <w:ind w:left="850" w:hanging="283"/>
        <w:jc w:val="both"/>
        <w:rPr>
          <w:rFonts w:ascii="Arial" w:eastAsia="Arial" w:hAnsi="Arial" w:cs="Arial"/>
          <w:b w:val="0"/>
          <w:sz w:val="22"/>
          <w:szCs w:val="22"/>
        </w:rPr>
      </w:pPr>
      <w:r>
        <w:rPr>
          <w:rFonts w:ascii="Arial" w:eastAsia="Arial" w:hAnsi="Arial" w:cs="Arial"/>
          <w:b w:val="0"/>
          <w:sz w:val="22"/>
          <w:szCs w:val="22"/>
        </w:rPr>
        <w:t>Asimismo, este será aplicable a aquellos arbitrajes a los que alguna de las partes decida someter sus controversias por ausencia de determinación de institución arbitral en el convenio arbitral, siempre que la Ley o Reglamento de la materia permita dicha administración.</w:t>
      </w:r>
    </w:p>
    <w:p w14:paraId="2C75FAE2" w14:textId="77777777" w:rsidR="00CD23AE" w:rsidRDefault="00CD23AE">
      <w:pPr>
        <w:pBdr>
          <w:top w:val="nil"/>
          <w:left w:val="nil"/>
          <w:bottom w:val="nil"/>
          <w:right w:val="nil"/>
          <w:between w:val="nil"/>
        </w:pBdr>
        <w:spacing w:before="32"/>
        <w:jc w:val="both"/>
        <w:rPr>
          <w:rFonts w:ascii="Arial" w:eastAsia="Arial" w:hAnsi="Arial" w:cs="Arial"/>
          <w:color w:val="000000"/>
          <w:sz w:val="26"/>
          <w:szCs w:val="26"/>
        </w:rPr>
      </w:pPr>
    </w:p>
    <w:p w14:paraId="45267243" w14:textId="77777777" w:rsidR="00CD23AE" w:rsidRDefault="00127FFC">
      <w:pPr>
        <w:pStyle w:val="Ttulo6"/>
        <w:ind w:left="467"/>
        <w:jc w:val="both"/>
        <w:rPr>
          <w:rFonts w:ascii="Arial" w:eastAsia="Arial" w:hAnsi="Arial" w:cs="Arial"/>
          <w:sz w:val="24"/>
          <w:szCs w:val="24"/>
        </w:rPr>
      </w:pPr>
      <w:r>
        <w:rPr>
          <w:rFonts w:ascii="Arial" w:eastAsia="Arial" w:hAnsi="Arial" w:cs="Arial"/>
          <w:color w:val="916F41"/>
          <w:sz w:val="24"/>
          <w:szCs w:val="24"/>
        </w:rPr>
        <w:t xml:space="preserve">ARTÍCULO 2°. - </w:t>
      </w:r>
      <w:r>
        <w:rPr>
          <w:rFonts w:ascii="Arial" w:eastAsia="Arial" w:hAnsi="Arial" w:cs="Arial"/>
          <w:sz w:val="24"/>
          <w:szCs w:val="24"/>
        </w:rPr>
        <w:t>REGLAMENTO APLICABLE</w:t>
      </w:r>
    </w:p>
    <w:p w14:paraId="6EFA5D16" w14:textId="77777777" w:rsidR="00CD23AE" w:rsidRDefault="00127FFC">
      <w:pPr>
        <w:numPr>
          <w:ilvl w:val="0"/>
          <w:numId w:val="55"/>
        </w:numPr>
        <w:pBdr>
          <w:top w:val="nil"/>
          <w:left w:val="nil"/>
          <w:bottom w:val="nil"/>
          <w:right w:val="nil"/>
          <w:between w:val="nil"/>
        </w:pBdr>
        <w:tabs>
          <w:tab w:val="left" w:pos="838"/>
        </w:tabs>
        <w:spacing w:before="228" w:line="273" w:lineRule="auto"/>
        <w:ind w:left="851" w:right="181"/>
        <w:jc w:val="both"/>
        <w:rPr>
          <w:rFonts w:ascii="Arial" w:eastAsia="Arial" w:hAnsi="Arial" w:cs="Arial"/>
          <w:color w:val="000000"/>
        </w:rPr>
      </w:pPr>
      <w:r>
        <w:rPr>
          <w:rFonts w:ascii="Arial" w:eastAsia="Arial" w:hAnsi="Arial" w:cs="Arial"/>
          <w:color w:val="000000"/>
        </w:rPr>
        <w:t>En caso las partes lo acuerden y el Centro lo acepte, éste podrá administrar arbitrajes con reglas distintas a las del presente Reglamento, el que se aplicará supletoriamente</w:t>
      </w:r>
    </w:p>
    <w:p w14:paraId="15D212A6" w14:textId="77777777" w:rsidR="00CD23AE" w:rsidRDefault="00127FFC">
      <w:pPr>
        <w:numPr>
          <w:ilvl w:val="0"/>
          <w:numId w:val="55"/>
        </w:numPr>
        <w:pBdr>
          <w:top w:val="nil"/>
          <w:left w:val="nil"/>
          <w:bottom w:val="nil"/>
          <w:right w:val="nil"/>
          <w:between w:val="nil"/>
        </w:pBdr>
        <w:tabs>
          <w:tab w:val="left" w:pos="838"/>
        </w:tabs>
        <w:spacing w:before="228" w:line="273" w:lineRule="auto"/>
        <w:ind w:left="851" w:right="181"/>
        <w:jc w:val="both"/>
        <w:rPr>
          <w:rFonts w:ascii="Arial" w:eastAsia="Arial" w:hAnsi="Arial" w:cs="Arial"/>
          <w:color w:val="000000"/>
        </w:rPr>
      </w:pPr>
      <w:r>
        <w:rPr>
          <w:rFonts w:ascii="Arial" w:eastAsia="Arial" w:hAnsi="Arial" w:cs="Arial"/>
          <w:color w:val="000000"/>
        </w:rPr>
        <w:t>No obstante, será de aplicación obligatoria la sección relativa a los costos del arbitraje y las Disposiciones Complementarias y Finales del Reglamento vigente a la fecha de inicio del arbitraje; así como lo dispuesto en el Código de Ética y demás disposiciones que dicte el Centro.</w:t>
      </w:r>
    </w:p>
    <w:p w14:paraId="3722354F" w14:textId="77777777" w:rsidR="00CD23AE" w:rsidRDefault="00CD23AE">
      <w:pPr>
        <w:pBdr>
          <w:top w:val="nil"/>
          <w:left w:val="nil"/>
          <w:bottom w:val="nil"/>
          <w:right w:val="nil"/>
          <w:between w:val="nil"/>
        </w:pBdr>
        <w:spacing w:before="31"/>
        <w:jc w:val="both"/>
        <w:rPr>
          <w:rFonts w:ascii="Arial" w:eastAsia="Arial" w:hAnsi="Arial" w:cs="Arial"/>
          <w:color w:val="000000"/>
          <w:sz w:val="26"/>
          <w:szCs w:val="26"/>
        </w:rPr>
      </w:pPr>
    </w:p>
    <w:p w14:paraId="3663EAB8" w14:textId="77777777" w:rsidR="00CD23AE" w:rsidRDefault="00127FFC">
      <w:pPr>
        <w:pStyle w:val="Ttulo6"/>
        <w:spacing w:before="1"/>
        <w:ind w:left="498"/>
        <w:jc w:val="both"/>
        <w:rPr>
          <w:rFonts w:ascii="Arial" w:eastAsia="Arial" w:hAnsi="Arial" w:cs="Arial"/>
          <w:sz w:val="24"/>
          <w:szCs w:val="24"/>
        </w:rPr>
      </w:pPr>
      <w:r>
        <w:rPr>
          <w:rFonts w:ascii="Arial" w:eastAsia="Arial" w:hAnsi="Arial" w:cs="Arial"/>
          <w:color w:val="916F41"/>
          <w:sz w:val="24"/>
          <w:szCs w:val="24"/>
        </w:rPr>
        <w:t xml:space="preserve">ARTÍCULO 3°. - </w:t>
      </w:r>
      <w:r>
        <w:rPr>
          <w:rFonts w:ascii="Arial" w:eastAsia="Arial" w:hAnsi="Arial" w:cs="Arial"/>
          <w:sz w:val="24"/>
          <w:szCs w:val="24"/>
        </w:rPr>
        <w:t>SOMETIMIENTO DE LAS PARTES AL CENTRO</w:t>
      </w:r>
    </w:p>
    <w:p w14:paraId="32307893" w14:textId="77777777" w:rsidR="00CD23AE" w:rsidRDefault="00127FFC">
      <w:pPr>
        <w:numPr>
          <w:ilvl w:val="0"/>
          <w:numId w:val="54"/>
        </w:numPr>
        <w:pBdr>
          <w:top w:val="nil"/>
          <w:left w:val="nil"/>
          <w:bottom w:val="nil"/>
          <w:right w:val="nil"/>
          <w:between w:val="nil"/>
        </w:pBdr>
        <w:tabs>
          <w:tab w:val="left" w:pos="790"/>
        </w:tabs>
        <w:spacing w:before="234" w:line="273" w:lineRule="auto"/>
        <w:ind w:right="181" w:firstLine="0"/>
        <w:jc w:val="both"/>
        <w:rPr>
          <w:rFonts w:ascii="Arial" w:eastAsia="Arial" w:hAnsi="Arial" w:cs="Arial"/>
          <w:color w:val="000000"/>
        </w:rPr>
      </w:pPr>
      <w:r>
        <w:rPr>
          <w:rFonts w:ascii="Arial" w:eastAsia="Arial" w:hAnsi="Arial" w:cs="Arial"/>
          <w:color w:val="000000"/>
        </w:rPr>
        <w:t>Las partes se someten al Centro como el encargado de gestionar las actuaciones arbitrales, de acuerdo con las facultades y obligaciones establecidas en el presente Reglamento, Código de Ética, así como las demás disposiciones que lo normen. Para ello, las partes le otorgan al Centro todas las prerrogativas necesarias para gestionar el arbitraje.</w:t>
      </w:r>
    </w:p>
    <w:p w14:paraId="088E702E" w14:textId="77777777" w:rsidR="00CD23AE" w:rsidRDefault="00127FFC">
      <w:pPr>
        <w:numPr>
          <w:ilvl w:val="0"/>
          <w:numId w:val="54"/>
        </w:numPr>
        <w:pBdr>
          <w:top w:val="nil"/>
          <w:left w:val="nil"/>
          <w:bottom w:val="nil"/>
          <w:right w:val="nil"/>
          <w:between w:val="nil"/>
        </w:pBdr>
        <w:tabs>
          <w:tab w:val="left" w:pos="801"/>
        </w:tabs>
        <w:spacing w:before="204" w:line="273" w:lineRule="auto"/>
        <w:ind w:right="181" w:firstLine="0"/>
        <w:jc w:val="both"/>
        <w:rPr>
          <w:rFonts w:ascii="Arial" w:eastAsia="Arial" w:hAnsi="Arial" w:cs="Arial"/>
          <w:color w:val="000000"/>
        </w:rPr>
      </w:pPr>
      <w:r>
        <w:rPr>
          <w:rFonts w:ascii="Arial" w:eastAsia="Arial" w:hAnsi="Arial" w:cs="Arial"/>
          <w:color w:val="000000"/>
        </w:rPr>
        <w:t>Se entenderá también que las actuaciones arbitrales quedan sometidas a la organización y gestión del Centro cuando las partes establezcan en su convenio arbitral que el arbitraje se conducirá bajo las normas, reglamentos o reglas del Centro.</w:t>
      </w:r>
    </w:p>
    <w:p w14:paraId="5B7240D8" w14:textId="77777777" w:rsidR="00CD23AE" w:rsidRDefault="00127FFC">
      <w:pPr>
        <w:numPr>
          <w:ilvl w:val="0"/>
          <w:numId w:val="54"/>
        </w:numPr>
        <w:pBdr>
          <w:top w:val="nil"/>
          <w:left w:val="nil"/>
          <w:bottom w:val="nil"/>
          <w:right w:val="nil"/>
          <w:between w:val="nil"/>
        </w:pBdr>
        <w:tabs>
          <w:tab w:val="left" w:pos="797"/>
        </w:tabs>
        <w:spacing w:before="258" w:line="273" w:lineRule="auto"/>
        <w:ind w:left="482" w:right="181" w:firstLine="0"/>
        <w:jc w:val="both"/>
        <w:rPr>
          <w:rFonts w:ascii="Arial" w:eastAsia="Arial" w:hAnsi="Arial" w:cs="Arial"/>
          <w:color w:val="000000"/>
        </w:rPr>
      </w:pPr>
      <w:bookmarkStart w:id="3" w:name="_heading=h.47slvcvq8mv" w:colFirst="0" w:colLast="0"/>
      <w:bookmarkEnd w:id="3"/>
      <w:r>
        <w:rPr>
          <w:rFonts w:ascii="Arial" w:eastAsia="Arial" w:hAnsi="Arial" w:cs="Arial"/>
          <w:color w:val="000000"/>
        </w:rPr>
        <w:t>Se entenderá también que las actuaciones arbitrales quedan sometidas a la organización y gestión del Centro cuando iniciado el arbitraje, la parte demandada no se oponga al mismo.</w:t>
      </w:r>
    </w:p>
    <w:p w14:paraId="492E77C8" w14:textId="77777777" w:rsidR="00CD23AE" w:rsidRDefault="00127FFC">
      <w:pPr>
        <w:numPr>
          <w:ilvl w:val="0"/>
          <w:numId w:val="54"/>
        </w:numPr>
        <w:pBdr>
          <w:top w:val="nil"/>
          <w:left w:val="nil"/>
          <w:bottom w:val="nil"/>
          <w:right w:val="nil"/>
          <w:between w:val="nil"/>
        </w:pBdr>
        <w:tabs>
          <w:tab w:val="left" w:pos="797"/>
        </w:tabs>
        <w:spacing w:before="258" w:line="273" w:lineRule="auto"/>
        <w:ind w:left="482" w:right="181" w:firstLine="0"/>
        <w:jc w:val="both"/>
        <w:rPr>
          <w:rFonts w:ascii="Arial" w:eastAsia="Arial" w:hAnsi="Arial" w:cs="Arial"/>
          <w:color w:val="000000"/>
        </w:rPr>
      </w:pPr>
      <w:r>
        <w:rPr>
          <w:rFonts w:ascii="Arial" w:eastAsia="Arial" w:hAnsi="Arial" w:cs="Arial"/>
          <w:color w:val="000000"/>
        </w:rPr>
        <w:t>Asimismo, el Centro podrá administrar los procedimientos arbitrales que la Ley o Reglamento confiera la facultad de poder ser administrados ante cualquier institución arbitral.</w:t>
      </w:r>
    </w:p>
    <w:p w14:paraId="16B62147" w14:textId="77777777" w:rsidR="00CD23AE" w:rsidRDefault="00CD23AE">
      <w:pPr>
        <w:pBdr>
          <w:top w:val="nil"/>
          <w:left w:val="nil"/>
          <w:bottom w:val="nil"/>
          <w:right w:val="nil"/>
          <w:between w:val="nil"/>
        </w:pBdr>
        <w:spacing w:before="3"/>
        <w:jc w:val="both"/>
        <w:rPr>
          <w:rFonts w:ascii="Arial" w:eastAsia="Arial" w:hAnsi="Arial" w:cs="Arial"/>
          <w:color w:val="000000"/>
        </w:rPr>
      </w:pPr>
    </w:p>
    <w:p w14:paraId="642770AA" w14:textId="77777777" w:rsidR="00CD23AE" w:rsidRDefault="00127FFC" w:rsidP="00B00FE6">
      <w:pPr>
        <w:pStyle w:val="Ttulo6"/>
        <w:jc w:val="both"/>
        <w:rPr>
          <w:rFonts w:ascii="Arial" w:eastAsia="Arial" w:hAnsi="Arial" w:cs="Arial"/>
          <w:sz w:val="24"/>
          <w:szCs w:val="24"/>
        </w:rPr>
      </w:pPr>
      <w:r>
        <w:rPr>
          <w:rFonts w:ascii="Arial" w:eastAsia="Arial" w:hAnsi="Arial" w:cs="Arial"/>
          <w:color w:val="916F41"/>
          <w:sz w:val="24"/>
          <w:szCs w:val="24"/>
        </w:rPr>
        <w:t>ARTÍCULO 4°. -</w:t>
      </w:r>
      <w:r>
        <w:rPr>
          <w:rFonts w:ascii="Arial" w:eastAsia="Arial" w:hAnsi="Arial" w:cs="Arial"/>
          <w:sz w:val="24"/>
          <w:szCs w:val="24"/>
        </w:rPr>
        <w:t xml:space="preserve"> RECHAZO DE LA GESTIÓN DE UN ARBITRAJE</w:t>
      </w:r>
    </w:p>
    <w:p w14:paraId="581A1BB9" w14:textId="77777777" w:rsidR="00CD23AE" w:rsidRDefault="00127FFC">
      <w:pPr>
        <w:numPr>
          <w:ilvl w:val="0"/>
          <w:numId w:val="53"/>
        </w:numPr>
        <w:pBdr>
          <w:top w:val="nil"/>
          <w:left w:val="nil"/>
          <w:bottom w:val="nil"/>
          <w:right w:val="nil"/>
          <w:between w:val="nil"/>
        </w:pBdr>
        <w:tabs>
          <w:tab w:val="left" w:pos="719"/>
        </w:tabs>
        <w:spacing w:before="235" w:line="273" w:lineRule="auto"/>
        <w:ind w:left="482" w:right="197" w:firstLine="0"/>
        <w:jc w:val="both"/>
        <w:rPr>
          <w:rFonts w:ascii="Arial" w:eastAsia="Arial" w:hAnsi="Arial" w:cs="Arial"/>
          <w:color w:val="000000"/>
        </w:rPr>
      </w:pPr>
      <w:r>
        <w:rPr>
          <w:rFonts w:ascii="Arial" w:eastAsia="Arial" w:hAnsi="Arial" w:cs="Arial"/>
          <w:color w:val="000000"/>
        </w:rPr>
        <w:t>El Centro podrá rechazar la gestión de un Arbitraje o apartarse de éste en los siguientes casos:</w:t>
      </w:r>
    </w:p>
    <w:p w14:paraId="7CA66C9C" w14:textId="77777777" w:rsidR="00CD23AE" w:rsidRDefault="00127FFC">
      <w:pPr>
        <w:numPr>
          <w:ilvl w:val="0"/>
          <w:numId w:val="62"/>
        </w:numPr>
        <w:pBdr>
          <w:top w:val="nil"/>
          <w:left w:val="nil"/>
          <w:bottom w:val="nil"/>
          <w:right w:val="nil"/>
          <w:between w:val="nil"/>
        </w:pBdr>
        <w:tabs>
          <w:tab w:val="left" w:pos="719"/>
        </w:tabs>
        <w:spacing w:before="235" w:line="273" w:lineRule="auto"/>
        <w:ind w:right="197"/>
        <w:jc w:val="both"/>
        <w:rPr>
          <w:rFonts w:ascii="Arial" w:eastAsia="Arial" w:hAnsi="Arial" w:cs="Arial"/>
          <w:color w:val="000000"/>
        </w:rPr>
      </w:pPr>
      <w:r>
        <w:rPr>
          <w:rFonts w:ascii="Arial" w:eastAsia="Arial" w:hAnsi="Arial" w:cs="Arial"/>
          <w:color w:val="000000"/>
        </w:rPr>
        <w:t>Cuando la suspensión del arbitraje acordada por las partes supere los noventa (90) días consecutivos o alternados.</w:t>
      </w:r>
    </w:p>
    <w:p w14:paraId="17A185CD" w14:textId="77777777" w:rsidR="00CD23AE" w:rsidRDefault="00127FFC">
      <w:pPr>
        <w:numPr>
          <w:ilvl w:val="0"/>
          <w:numId w:val="62"/>
        </w:numPr>
        <w:pBdr>
          <w:top w:val="nil"/>
          <w:left w:val="nil"/>
          <w:bottom w:val="nil"/>
          <w:right w:val="nil"/>
          <w:between w:val="nil"/>
        </w:pBdr>
        <w:tabs>
          <w:tab w:val="left" w:pos="719"/>
        </w:tabs>
        <w:spacing w:before="235" w:line="273" w:lineRule="auto"/>
        <w:ind w:right="197"/>
        <w:jc w:val="both"/>
        <w:rPr>
          <w:rFonts w:ascii="Arial" w:eastAsia="Arial" w:hAnsi="Arial" w:cs="Arial"/>
          <w:color w:val="000000"/>
        </w:rPr>
      </w:pPr>
      <w:r>
        <w:rPr>
          <w:rFonts w:ascii="Arial" w:eastAsia="Arial" w:hAnsi="Arial" w:cs="Arial"/>
          <w:color w:val="000000"/>
        </w:rPr>
        <w:t xml:space="preserve">Cuando existan razones justificadas que, a criterio </w:t>
      </w:r>
      <w:r>
        <w:rPr>
          <w:rFonts w:ascii="Arial" w:eastAsia="Arial" w:hAnsi="Arial" w:cs="Arial"/>
        </w:rPr>
        <w:t>del</w:t>
      </w:r>
      <w:r>
        <w:rPr>
          <w:rFonts w:ascii="Arial" w:eastAsia="Arial" w:hAnsi="Arial" w:cs="Arial"/>
          <w:color w:val="000000"/>
        </w:rPr>
        <w:t xml:space="preserve"> Consejo Superior de Arbitraje, </w:t>
      </w:r>
      <w:r>
        <w:rPr>
          <w:rFonts w:ascii="Arial" w:eastAsia="Arial" w:hAnsi="Arial" w:cs="Arial"/>
          <w:color w:val="000000"/>
        </w:rPr>
        <w:lastRenderedPageBreak/>
        <w:t>impidan la gestión eficiente y/o ética de un Arbitraje.</w:t>
      </w:r>
    </w:p>
    <w:p w14:paraId="2A96B6F5" w14:textId="77777777" w:rsidR="00CD23AE" w:rsidRDefault="00127FFC">
      <w:pPr>
        <w:numPr>
          <w:ilvl w:val="0"/>
          <w:numId w:val="53"/>
        </w:numPr>
        <w:pBdr>
          <w:top w:val="nil"/>
          <w:left w:val="nil"/>
          <w:bottom w:val="nil"/>
          <w:right w:val="nil"/>
          <w:between w:val="nil"/>
        </w:pBdr>
        <w:tabs>
          <w:tab w:val="left" w:pos="796"/>
        </w:tabs>
        <w:spacing w:before="224" w:line="273" w:lineRule="auto"/>
        <w:ind w:left="482" w:right="197" w:firstLine="0"/>
        <w:jc w:val="both"/>
        <w:rPr>
          <w:rFonts w:ascii="Arial" w:eastAsia="Arial" w:hAnsi="Arial" w:cs="Arial"/>
          <w:color w:val="000000"/>
        </w:rPr>
      </w:pPr>
      <w:r>
        <w:rPr>
          <w:rFonts w:ascii="Arial" w:eastAsia="Arial" w:hAnsi="Arial" w:cs="Arial"/>
          <w:color w:val="000000"/>
        </w:rPr>
        <w:t xml:space="preserve">En el supuesto del inciso a), la decisión será adoptada por la Secretaría General; en caso del inciso b), será adoptada por </w:t>
      </w:r>
      <w:r>
        <w:rPr>
          <w:rFonts w:ascii="Arial" w:eastAsia="Arial" w:hAnsi="Arial" w:cs="Arial"/>
        </w:rPr>
        <w:t>el Consejo</w:t>
      </w:r>
      <w:r>
        <w:rPr>
          <w:rFonts w:ascii="Arial" w:eastAsia="Arial" w:hAnsi="Arial" w:cs="Arial"/>
          <w:color w:val="000000"/>
        </w:rPr>
        <w:t xml:space="preserve"> Superior de Arbitraje. En ambos supuestos, la decisión será inimpugnable.</w:t>
      </w:r>
    </w:p>
    <w:p w14:paraId="72F5924B" w14:textId="77777777" w:rsidR="00CD23AE" w:rsidRDefault="00CD23AE">
      <w:pPr>
        <w:pBdr>
          <w:top w:val="nil"/>
          <w:left w:val="nil"/>
          <w:bottom w:val="nil"/>
          <w:right w:val="nil"/>
          <w:between w:val="nil"/>
        </w:pBdr>
        <w:spacing w:before="32"/>
        <w:jc w:val="both"/>
        <w:rPr>
          <w:rFonts w:ascii="Arial" w:eastAsia="Arial" w:hAnsi="Arial" w:cs="Arial"/>
          <w:color w:val="000000"/>
          <w:sz w:val="24"/>
          <w:szCs w:val="24"/>
        </w:rPr>
      </w:pPr>
    </w:p>
    <w:p w14:paraId="51FA376A" w14:textId="58E06A6C" w:rsidR="00CD23AE" w:rsidRDefault="00127FFC" w:rsidP="00B00FE6">
      <w:pPr>
        <w:pStyle w:val="Ttulo6"/>
        <w:tabs>
          <w:tab w:val="left" w:pos="2087"/>
          <w:tab w:val="left" w:pos="2649"/>
          <w:tab w:val="left" w:pos="2986"/>
          <w:tab w:val="left" w:pos="5075"/>
          <w:tab w:val="left" w:pos="7367"/>
          <w:tab w:val="left" w:pos="7985"/>
          <w:tab w:val="left" w:pos="9633"/>
        </w:tabs>
        <w:spacing w:before="1" w:line="268" w:lineRule="auto"/>
        <w:ind w:right="197"/>
        <w:jc w:val="both"/>
        <w:rPr>
          <w:rFonts w:ascii="Arial" w:eastAsia="Arial" w:hAnsi="Arial" w:cs="Arial"/>
          <w:sz w:val="24"/>
          <w:szCs w:val="24"/>
        </w:rPr>
      </w:pPr>
      <w:r>
        <w:rPr>
          <w:rFonts w:ascii="Arial" w:eastAsia="Arial" w:hAnsi="Arial" w:cs="Arial"/>
          <w:color w:val="916F41"/>
          <w:sz w:val="24"/>
          <w:szCs w:val="24"/>
        </w:rPr>
        <w:t>ARTÍCULO</w:t>
      </w:r>
      <w:r>
        <w:rPr>
          <w:rFonts w:ascii="Arial" w:eastAsia="Arial" w:hAnsi="Arial" w:cs="Arial"/>
          <w:color w:val="916F41"/>
          <w:sz w:val="24"/>
          <w:szCs w:val="24"/>
        </w:rPr>
        <w:tab/>
        <w:t>5°.</w:t>
      </w:r>
      <w:r>
        <w:rPr>
          <w:rFonts w:ascii="Arial" w:eastAsia="Arial" w:hAnsi="Arial" w:cs="Arial"/>
          <w:color w:val="916F41"/>
          <w:sz w:val="24"/>
          <w:szCs w:val="24"/>
        </w:rPr>
        <w:tab/>
        <w:t>-</w:t>
      </w:r>
      <w:r>
        <w:rPr>
          <w:rFonts w:ascii="Arial" w:eastAsia="Arial" w:hAnsi="Arial" w:cs="Arial"/>
          <w:sz w:val="24"/>
          <w:szCs w:val="24"/>
        </w:rPr>
        <w:t>MECANISMOS</w:t>
      </w:r>
      <w:r>
        <w:rPr>
          <w:rFonts w:ascii="Arial" w:eastAsia="Arial" w:hAnsi="Arial" w:cs="Arial"/>
          <w:sz w:val="24"/>
          <w:szCs w:val="24"/>
        </w:rPr>
        <w:tab/>
        <w:t xml:space="preserve"> ALTERNATIVOS DE</w:t>
      </w:r>
      <w:r>
        <w:rPr>
          <w:rFonts w:ascii="Arial" w:eastAsia="Arial" w:hAnsi="Arial" w:cs="Arial"/>
          <w:sz w:val="24"/>
          <w:szCs w:val="24"/>
        </w:rPr>
        <w:tab/>
        <w:t>SOLUCIÓN DE CONTROVERSIAS</w:t>
      </w:r>
    </w:p>
    <w:p w14:paraId="072CB434" w14:textId="77777777" w:rsidR="00CD23AE" w:rsidRDefault="00127FFC">
      <w:pPr>
        <w:pBdr>
          <w:top w:val="nil"/>
          <w:left w:val="nil"/>
          <w:bottom w:val="nil"/>
          <w:right w:val="nil"/>
          <w:between w:val="nil"/>
        </w:pBdr>
        <w:spacing w:before="183" w:line="273" w:lineRule="auto"/>
        <w:ind w:left="482" w:right="197"/>
        <w:jc w:val="both"/>
        <w:rPr>
          <w:rFonts w:ascii="Arial" w:eastAsia="Arial" w:hAnsi="Arial" w:cs="Arial"/>
          <w:color w:val="000000"/>
        </w:rPr>
      </w:pPr>
      <w:r>
        <w:rPr>
          <w:rFonts w:ascii="Arial" w:eastAsia="Arial" w:hAnsi="Arial" w:cs="Arial"/>
          <w:color w:val="000000"/>
        </w:rPr>
        <w:t>Si las partes hubiesen pactado la aplicación del trato directo, negociación, mediación, conciliación, Junta de Resolución de Disputas u otro mecanismo de solución de controversias como paso previo al arbitraje, la sola presentación de la solicitud de arbitraje por una de ellas implicará la renuncia a la aplicación de dichos mecanismos, háyase o no iniciado estos, salvo pacto en contrario o si éstos constituyen un requisito de arbitrabilidad determinado por la normatividad pertinente.</w:t>
      </w:r>
    </w:p>
    <w:p w14:paraId="5909E86F" w14:textId="77777777" w:rsidR="00CD23AE" w:rsidRDefault="00CD23AE">
      <w:pPr>
        <w:pBdr>
          <w:top w:val="nil"/>
          <w:left w:val="nil"/>
          <w:bottom w:val="nil"/>
          <w:right w:val="nil"/>
          <w:between w:val="nil"/>
        </w:pBdr>
        <w:spacing w:before="48"/>
        <w:jc w:val="both"/>
        <w:rPr>
          <w:rFonts w:ascii="Arial" w:eastAsia="Arial" w:hAnsi="Arial" w:cs="Arial"/>
          <w:color w:val="000000"/>
          <w:sz w:val="24"/>
          <w:szCs w:val="24"/>
        </w:rPr>
      </w:pPr>
    </w:p>
    <w:p w14:paraId="6C26D758" w14:textId="77777777" w:rsidR="00CD23AE" w:rsidRDefault="00127FFC">
      <w:pPr>
        <w:pStyle w:val="Ttulo2"/>
        <w:ind w:firstLine="482"/>
        <w:rPr>
          <w:rFonts w:ascii="Arial" w:eastAsia="Arial" w:hAnsi="Arial" w:cs="Arial"/>
          <w:b/>
          <w:color w:val="E80303"/>
          <w:sz w:val="26"/>
          <w:szCs w:val="26"/>
        </w:rPr>
      </w:pPr>
      <w:r>
        <w:rPr>
          <w:rFonts w:ascii="Arial" w:eastAsia="Arial" w:hAnsi="Arial" w:cs="Arial"/>
          <w:b/>
          <w:color w:val="E80303"/>
          <w:sz w:val="26"/>
          <w:szCs w:val="26"/>
        </w:rPr>
        <w:t>CAPÍTULO II: DISPOSICIONES APLICABLES</w:t>
      </w:r>
    </w:p>
    <w:p w14:paraId="29202FD3" w14:textId="77777777" w:rsidR="00CD23AE" w:rsidRDefault="00127FFC" w:rsidP="00B00FE6">
      <w:pPr>
        <w:pStyle w:val="Ttulo6"/>
        <w:spacing w:before="318"/>
        <w:jc w:val="both"/>
        <w:rPr>
          <w:rFonts w:ascii="Arial" w:eastAsia="Arial" w:hAnsi="Arial" w:cs="Arial"/>
          <w:sz w:val="24"/>
          <w:szCs w:val="24"/>
        </w:rPr>
      </w:pPr>
      <w:r>
        <w:rPr>
          <w:rFonts w:ascii="Arial" w:eastAsia="Arial" w:hAnsi="Arial" w:cs="Arial"/>
          <w:color w:val="916F41"/>
          <w:sz w:val="24"/>
          <w:szCs w:val="24"/>
        </w:rPr>
        <w:t xml:space="preserve">ARTÍCULO 6°. - </w:t>
      </w:r>
      <w:r>
        <w:rPr>
          <w:rFonts w:ascii="Arial" w:eastAsia="Arial" w:hAnsi="Arial" w:cs="Arial"/>
          <w:sz w:val="24"/>
          <w:szCs w:val="24"/>
        </w:rPr>
        <w:t>LUGAR Y SEDE DEL ARBITRAJE</w:t>
      </w:r>
    </w:p>
    <w:p w14:paraId="52D77802" w14:textId="77777777" w:rsidR="00CD23AE" w:rsidRDefault="00127FFC">
      <w:pPr>
        <w:pBdr>
          <w:top w:val="nil"/>
          <w:left w:val="nil"/>
          <w:bottom w:val="nil"/>
          <w:right w:val="nil"/>
          <w:between w:val="nil"/>
        </w:pBdr>
        <w:spacing w:before="243" w:line="273" w:lineRule="auto"/>
        <w:ind w:left="482" w:right="197"/>
        <w:jc w:val="both"/>
        <w:rPr>
          <w:rFonts w:ascii="Arial" w:eastAsia="Arial" w:hAnsi="Arial" w:cs="Arial"/>
          <w:color w:val="000000"/>
        </w:rPr>
      </w:pPr>
      <w:r>
        <w:rPr>
          <w:rFonts w:ascii="Arial" w:eastAsia="Arial" w:hAnsi="Arial" w:cs="Arial"/>
          <w:color w:val="000000"/>
        </w:rPr>
        <w:t>El lugar y sede del arbitraje será la acordada por las partes. En su defecto la sede institucional del Centro o sus sucursales.</w:t>
      </w:r>
    </w:p>
    <w:p w14:paraId="2F23D412" w14:textId="77777777" w:rsidR="00CD23AE" w:rsidRDefault="00127FFC" w:rsidP="00B00FE6">
      <w:pPr>
        <w:pStyle w:val="Ttulo6"/>
        <w:spacing w:before="202"/>
        <w:jc w:val="both"/>
        <w:rPr>
          <w:rFonts w:ascii="Arial" w:eastAsia="Arial" w:hAnsi="Arial" w:cs="Arial"/>
          <w:sz w:val="24"/>
          <w:szCs w:val="24"/>
        </w:rPr>
      </w:pPr>
      <w:r>
        <w:rPr>
          <w:rFonts w:ascii="Arial" w:eastAsia="Arial" w:hAnsi="Arial" w:cs="Arial"/>
          <w:color w:val="916F41"/>
          <w:sz w:val="24"/>
          <w:szCs w:val="24"/>
        </w:rPr>
        <w:t xml:space="preserve">ARTÍCULO 7°. - </w:t>
      </w:r>
      <w:r>
        <w:rPr>
          <w:rFonts w:ascii="Arial" w:eastAsia="Arial" w:hAnsi="Arial" w:cs="Arial"/>
          <w:sz w:val="24"/>
          <w:szCs w:val="24"/>
        </w:rPr>
        <w:t>ACTUACIONES Y DILIGENCIAS</w:t>
      </w:r>
    </w:p>
    <w:p w14:paraId="0C8B8D3C" w14:textId="77777777" w:rsidR="00CD23AE" w:rsidRDefault="00127FFC">
      <w:pPr>
        <w:pBdr>
          <w:top w:val="nil"/>
          <w:left w:val="nil"/>
          <w:bottom w:val="nil"/>
          <w:right w:val="nil"/>
          <w:between w:val="nil"/>
        </w:pBdr>
        <w:spacing w:before="243" w:line="273" w:lineRule="auto"/>
        <w:ind w:left="482" w:right="197"/>
        <w:jc w:val="both"/>
        <w:rPr>
          <w:rFonts w:ascii="Arial" w:eastAsia="Arial" w:hAnsi="Arial" w:cs="Arial"/>
          <w:color w:val="000000"/>
        </w:rPr>
      </w:pPr>
      <w:r>
        <w:rPr>
          <w:rFonts w:ascii="Arial" w:eastAsia="Arial" w:hAnsi="Arial" w:cs="Arial"/>
          <w:color w:val="000000"/>
        </w:rPr>
        <w:t>Las actuaciones y diligencias se llevarán a cabo en el día y hora que determine el Centro. No obstante, se podrán habilitar días y horarios especiales, los que quedarán a criterio del Tribunal Arbitral.</w:t>
      </w:r>
    </w:p>
    <w:p w14:paraId="60B5F057" w14:textId="77777777" w:rsidR="00CD23AE" w:rsidRDefault="00127FFC" w:rsidP="00B00FE6">
      <w:pPr>
        <w:pStyle w:val="Ttulo6"/>
        <w:spacing w:before="291"/>
        <w:jc w:val="both"/>
        <w:rPr>
          <w:rFonts w:ascii="Arial" w:eastAsia="Arial" w:hAnsi="Arial" w:cs="Arial"/>
          <w:sz w:val="24"/>
          <w:szCs w:val="24"/>
        </w:rPr>
      </w:pPr>
      <w:r>
        <w:rPr>
          <w:rFonts w:ascii="Arial" w:eastAsia="Arial" w:hAnsi="Arial" w:cs="Arial"/>
          <w:color w:val="916F41"/>
          <w:sz w:val="24"/>
          <w:szCs w:val="24"/>
        </w:rPr>
        <w:t xml:space="preserve">ARTÍCULO 8°. - </w:t>
      </w:r>
      <w:r>
        <w:rPr>
          <w:rFonts w:ascii="Arial" w:eastAsia="Arial" w:hAnsi="Arial" w:cs="Arial"/>
          <w:sz w:val="24"/>
          <w:szCs w:val="24"/>
        </w:rPr>
        <w:t>NOTIFICACIONES</w:t>
      </w:r>
    </w:p>
    <w:p w14:paraId="3ED226A0" w14:textId="77777777" w:rsidR="00CD23AE" w:rsidRDefault="00127FFC">
      <w:pPr>
        <w:numPr>
          <w:ilvl w:val="0"/>
          <w:numId w:val="52"/>
        </w:numPr>
        <w:pBdr>
          <w:top w:val="nil"/>
          <w:left w:val="nil"/>
          <w:bottom w:val="nil"/>
          <w:right w:val="nil"/>
          <w:between w:val="nil"/>
        </w:pBdr>
        <w:tabs>
          <w:tab w:val="left" w:pos="732"/>
        </w:tabs>
        <w:spacing w:before="250" w:line="273" w:lineRule="auto"/>
        <w:ind w:left="482" w:right="197" w:firstLine="0"/>
        <w:jc w:val="both"/>
        <w:rPr>
          <w:rFonts w:ascii="Arial" w:eastAsia="Arial" w:hAnsi="Arial" w:cs="Arial"/>
          <w:color w:val="000000"/>
        </w:rPr>
      </w:pPr>
      <w:r>
        <w:rPr>
          <w:rFonts w:ascii="Arial" w:eastAsia="Arial" w:hAnsi="Arial" w:cs="Arial"/>
          <w:color w:val="000000"/>
        </w:rPr>
        <w:t>Las notificaciones y comunicaciones serán efectuadas de acuerdo con lo siguiente:</w:t>
      </w:r>
    </w:p>
    <w:p w14:paraId="1F20ACFB" w14:textId="77777777" w:rsidR="00CD23AE" w:rsidRDefault="00127FFC">
      <w:pPr>
        <w:numPr>
          <w:ilvl w:val="0"/>
          <w:numId w:val="64"/>
        </w:numPr>
        <w:pBdr>
          <w:top w:val="nil"/>
          <w:left w:val="nil"/>
          <w:bottom w:val="nil"/>
          <w:right w:val="nil"/>
          <w:between w:val="nil"/>
        </w:pBdr>
        <w:tabs>
          <w:tab w:val="left" w:pos="732"/>
        </w:tabs>
        <w:spacing w:before="250" w:line="273" w:lineRule="auto"/>
        <w:ind w:right="197"/>
        <w:jc w:val="both"/>
        <w:rPr>
          <w:rFonts w:ascii="Arial" w:eastAsia="Arial" w:hAnsi="Arial" w:cs="Arial"/>
          <w:color w:val="000000"/>
        </w:rPr>
      </w:pPr>
      <w:r>
        <w:rPr>
          <w:rFonts w:ascii="Arial" w:eastAsia="Arial" w:hAnsi="Arial" w:cs="Arial"/>
          <w:color w:val="000000"/>
        </w:rPr>
        <w:t>Para efectos de las notificaciones de un arbitraje, las partes y demás intervinientes deberán consignar una dirección de correo electrónico, así como una dirección física o postal.</w:t>
      </w:r>
    </w:p>
    <w:p w14:paraId="4398DF64" w14:textId="310A26A7" w:rsidR="00CD23AE" w:rsidRDefault="00127FFC">
      <w:pPr>
        <w:numPr>
          <w:ilvl w:val="0"/>
          <w:numId w:val="64"/>
        </w:numPr>
        <w:pBdr>
          <w:top w:val="nil"/>
          <w:left w:val="nil"/>
          <w:bottom w:val="nil"/>
          <w:right w:val="nil"/>
          <w:between w:val="nil"/>
        </w:pBdr>
        <w:tabs>
          <w:tab w:val="left" w:pos="732"/>
        </w:tabs>
        <w:spacing w:before="250" w:line="273" w:lineRule="auto"/>
        <w:ind w:right="197"/>
        <w:jc w:val="both"/>
        <w:rPr>
          <w:rFonts w:ascii="Arial" w:eastAsia="Arial" w:hAnsi="Arial" w:cs="Arial"/>
          <w:color w:val="000000"/>
        </w:rPr>
      </w:pPr>
      <w:r>
        <w:rPr>
          <w:rFonts w:ascii="Arial" w:eastAsia="Arial" w:hAnsi="Arial" w:cs="Arial"/>
          <w:color w:val="000000"/>
        </w:rPr>
        <w:t xml:space="preserve">Las notificaciones y otras comunicaciones serán remitidas por el Sistema </w:t>
      </w:r>
      <w:r w:rsidR="00E17893">
        <w:rPr>
          <w:rFonts w:ascii="Arial" w:eastAsia="Arial" w:hAnsi="Arial" w:cs="Arial"/>
          <w:color w:val="000000"/>
        </w:rPr>
        <w:t xml:space="preserve">de Mesa de Partes </w:t>
      </w:r>
      <w:r>
        <w:rPr>
          <w:rFonts w:ascii="Arial" w:eastAsia="Arial" w:hAnsi="Arial" w:cs="Arial"/>
          <w:color w:val="000000"/>
        </w:rPr>
        <w:t>a las partes y demás intervinientes en el arbitraje; o de ser el caso, y solo a criterio del Centro, Consejo Superior de Arbitraje o Tribunal Arbitral, se desarrollarán a través de cualquier otro medio que deje constancia de su entrega o de su tentativa de entrega.</w:t>
      </w:r>
    </w:p>
    <w:p w14:paraId="5ABEE0BC" w14:textId="77777777" w:rsidR="00CD23AE" w:rsidRDefault="00127FFC">
      <w:pPr>
        <w:numPr>
          <w:ilvl w:val="0"/>
          <w:numId w:val="64"/>
        </w:numPr>
        <w:pBdr>
          <w:top w:val="nil"/>
          <w:left w:val="nil"/>
          <w:bottom w:val="nil"/>
          <w:right w:val="nil"/>
          <w:between w:val="nil"/>
        </w:pBdr>
        <w:tabs>
          <w:tab w:val="left" w:pos="732"/>
        </w:tabs>
        <w:spacing w:before="250" w:line="273" w:lineRule="auto"/>
        <w:ind w:right="197"/>
        <w:jc w:val="both"/>
        <w:rPr>
          <w:rFonts w:ascii="Arial" w:eastAsia="Arial" w:hAnsi="Arial" w:cs="Arial"/>
          <w:color w:val="000000"/>
        </w:rPr>
      </w:pPr>
      <w:r>
        <w:rPr>
          <w:rFonts w:ascii="Arial" w:eastAsia="Arial" w:hAnsi="Arial" w:cs="Arial"/>
          <w:color w:val="000000"/>
        </w:rPr>
        <w:t xml:space="preserve">En caso estrictamente necesarios, la Secretaria General realizará las notificaciones a la dirección señalada en la cláusula arbitral o en el acto jurídico que la contiene. Si en ninguno de los casos anteriores. se pudiera entregar la notificación, se considerará válidamente recibida cuando se envíe a la última dirección conocida de la parte, utilizando correo certificado o cualquier otro medio o modalidad que deje constancia de la entrega o del intento de entrega. Dicho </w:t>
      </w:r>
      <w:r>
        <w:rPr>
          <w:rFonts w:ascii="Arial" w:eastAsia="Arial" w:hAnsi="Arial" w:cs="Arial"/>
        </w:rPr>
        <w:t>trámite</w:t>
      </w:r>
      <w:r>
        <w:rPr>
          <w:rFonts w:ascii="Arial" w:eastAsia="Arial" w:hAnsi="Arial" w:cs="Arial"/>
          <w:color w:val="000000"/>
        </w:rPr>
        <w:t xml:space="preserve"> se realizará solo cuando la parte interesada asuma los costos de dicho servicio.</w:t>
      </w:r>
    </w:p>
    <w:p w14:paraId="67C06B3B" w14:textId="07F4CCB7" w:rsidR="00CD23AE" w:rsidRDefault="00127FFC">
      <w:pPr>
        <w:numPr>
          <w:ilvl w:val="0"/>
          <w:numId w:val="64"/>
        </w:numPr>
        <w:pBdr>
          <w:top w:val="nil"/>
          <w:left w:val="nil"/>
          <w:bottom w:val="nil"/>
          <w:right w:val="nil"/>
          <w:between w:val="nil"/>
        </w:pBdr>
        <w:tabs>
          <w:tab w:val="left" w:pos="732"/>
        </w:tabs>
        <w:spacing w:before="250" w:line="273" w:lineRule="auto"/>
        <w:ind w:right="197"/>
        <w:jc w:val="both"/>
        <w:rPr>
          <w:rFonts w:ascii="Arial" w:eastAsia="Arial" w:hAnsi="Arial" w:cs="Arial"/>
          <w:color w:val="000000"/>
        </w:rPr>
      </w:pPr>
      <w:r>
        <w:rPr>
          <w:rFonts w:ascii="Arial" w:eastAsia="Arial" w:hAnsi="Arial" w:cs="Arial"/>
          <w:color w:val="000000"/>
        </w:rPr>
        <w:t xml:space="preserve">Las partes están obligadas a utilizar el Sistema </w:t>
      </w:r>
      <w:r w:rsidR="00E17893">
        <w:rPr>
          <w:rFonts w:ascii="Arial" w:eastAsia="Arial" w:hAnsi="Arial" w:cs="Arial"/>
          <w:color w:val="000000"/>
        </w:rPr>
        <w:t>Mesa de Partes</w:t>
      </w:r>
      <w:r>
        <w:rPr>
          <w:rFonts w:ascii="Arial" w:eastAsia="Arial" w:hAnsi="Arial" w:cs="Arial"/>
          <w:color w:val="000000"/>
        </w:rPr>
        <w:t xml:space="preserve">, debiendo revisar diariamente su Casilla Electrónica respecto de las notificaciones que se realicen en el </w:t>
      </w:r>
      <w:r>
        <w:rPr>
          <w:rFonts w:ascii="Arial" w:eastAsia="Arial" w:hAnsi="Arial" w:cs="Arial"/>
          <w:color w:val="000000"/>
        </w:rPr>
        <w:lastRenderedPageBreak/>
        <w:t>proceso arbitral.</w:t>
      </w:r>
    </w:p>
    <w:p w14:paraId="5BDE9597" w14:textId="77777777" w:rsidR="00CD23AE" w:rsidRDefault="00127FFC">
      <w:pPr>
        <w:numPr>
          <w:ilvl w:val="0"/>
          <w:numId w:val="52"/>
        </w:numPr>
        <w:pBdr>
          <w:top w:val="nil"/>
          <w:left w:val="nil"/>
          <w:bottom w:val="nil"/>
          <w:right w:val="nil"/>
          <w:between w:val="nil"/>
        </w:pBdr>
        <w:tabs>
          <w:tab w:val="left" w:pos="780"/>
        </w:tabs>
        <w:spacing w:before="163" w:line="273" w:lineRule="auto"/>
        <w:ind w:left="482" w:right="177" w:firstLine="0"/>
        <w:jc w:val="both"/>
        <w:rPr>
          <w:rFonts w:ascii="Arial" w:eastAsia="Arial" w:hAnsi="Arial" w:cs="Arial"/>
          <w:color w:val="000000"/>
        </w:rPr>
      </w:pPr>
      <w:r>
        <w:rPr>
          <w:rFonts w:ascii="Arial" w:eastAsia="Arial" w:hAnsi="Arial" w:cs="Arial"/>
          <w:color w:val="000000"/>
        </w:rPr>
        <w:t>La notificación en la casilla electrónica se considerará recibida el día que fue enviada, salvo que la parte que alegue no haberla recibido lo pruebe por los medios técnicos correspondientes. Las comunicaciones enviadas a la dirección física o postal, se considerarán recibidas el día que hayan sido entregadas. Si alguna de las partes se negara a recibir la notificación personal o no se encontrará en el domicilio, se indicará esta circunstancia y dicha parte se entenderá válidamente notificada.</w:t>
      </w:r>
    </w:p>
    <w:p w14:paraId="051DB5EC" w14:textId="77777777" w:rsidR="00CD23AE" w:rsidRDefault="00127FFC">
      <w:pPr>
        <w:pStyle w:val="Ttulo6"/>
        <w:spacing w:before="140"/>
        <w:ind w:left="502"/>
        <w:jc w:val="both"/>
        <w:rPr>
          <w:rFonts w:ascii="Arial" w:eastAsia="Arial" w:hAnsi="Arial" w:cs="Arial"/>
          <w:sz w:val="24"/>
          <w:szCs w:val="24"/>
        </w:rPr>
      </w:pPr>
      <w:r>
        <w:rPr>
          <w:rFonts w:ascii="Arial" w:eastAsia="Arial" w:hAnsi="Arial" w:cs="Arial"/>
          <w:color w:val="916F41"/>
          <w:sz w:val="24"/>
          <w:szCs w:val="24"/>
        </w:rPr>
        <w:t xml:space="preserve">ARTÍCULO 9°. - </w:t>
      </w:r>
      <w:r>
        <w:rPr>
          <w:rFonts w:ascii="Arial" w:eastAsia="Arial" w:hAnsi="Arial" w:cs="Arial"/>
          <w:sz w:val="24"/>
          <w:szCs w:val="24"/>
        </w:rPr>
        <w:t>REGLAS PARA EL CÓMPUTO DE LOS PLAZOS</w:t>
      </w:r>
    </w:p>
    <w:p w14:paraId="5FD8E012" w14:textId="77777777" w:rsidR="00CD23AE" w:rsidRDefault="00127FFC">
      <w:pPr>
        <w:pBdr>
          <w:top w:val="nil"/>
          <w:left w:val="nil"/>
          <w:bottom w:val="nil"/>
          <w:right w:val="nil"/>
          <w:between w:val="nil"/>
        </w:pBdr>
        <w:spacing w:before="220"/>
        <w:ind w:left="482"/>
        <w:jc w:val="both"/>
        <w:rPr>
          <w:rFonts w:ascii="Arial" w:eastAsia="Arial" w:hAnsi="Arial" w:cs="Arial"/>
          <w:color w:val="000000"/>
        </w:rPr>
      </w:pPr>
      <w:r>
        <w:rPr>
          <w:rFonts w:ascii="Arial" w:eastAsia="Arial" w:hAnsi="Arial" w:cs="Arial"/>
          <w:color w:val="000000"/>
        </w:rPr>
        <w:t>El cómputo de los plazos se rige por las siguientes reglas:</w:t>
      </w:r>
    </w:p>
    <w:p w14:paraId="1E18FB5E" w14:textId="77777777" w:rsidR="00CD23AE" w:rsidRDefault="00127FFC">
      <w:pPr>
        <w:numPr>
          <w:ilvl w:val="0"/>
          <w:numId w:val="50"/>
        </w:numPr>
        <w:pBdr>
          <w:top w:val="nil"/>
          <w:left w:val="nil"/>
          <w:bottom w:val="nil"/>
          <w:right w:val="nil"/>
          <w:between w:val="nil"/>
        </w:pBdr>
        <w:tabs>
          <w:tab w:val="left" w:pos="755"/>
        </w:tabs>
        <w:spacing w:before="236" w:line="273" w:lineRule="auto"/>
        <w:ind w:right="177" w:firstLine="0"/>
        <w:jc w:val="both"/>
        <w:rPr>
          <w:rFonts w:ascii="Arial" w:eastAsia="Arial" w:hAnsi="Arial" w:cs="Arial"/>
          <w:color w:val="000000"/>
        </w:rPr>
      </w:pPr>
      <w:r>
        <w:rPr>
          <w:rFonts w:ascii="Arial" w:eastAsia="Arial" w:hAnsi="Arial" w:cs="Arial"/>
          <w:color w:val="000000"/>
        </w:rPr>
        <w:t>Los plazos establecidos en el Reglamento se computan por días hábiles, salvo que expresamente se señalen días calendario.</w:t>
      </w:r>
    </w:p>
    <w:p w14:paraId="3F6FFD0C" w14:textId="77777777" w:rsidR="00CD23AE" w:rsidRDefault="00CD23AE">
      <w:pPr>
        <w:pBdr>
          <w:top w:val="nil"/>
          <w:left w:val="nil"/>
          <w:bottom w:val="nil"/>
          <w:right w:val="nil"/>
          <w:between w:val="nil"/>
        </w:pBdr>
        <w:spacing w:before="7"/>
        <w:jc w:val="both"/>
        <w:rPr>
          <w:rFonts w:ascii="Arial" w:eastAsia="Arial" w:hAnsi="Arial" w:cs="Arial"/>
          <w:color w:val="000000"/>
        </w:rPr>
      </w:pPr>
    </w:p>
    <w:p w14:paraId="464B7C2B" w14:textId="77777777" w:rsidR="00CD23AE" w:rsidRDefault="00127FFC">
      <w:pPr>
        <w:numPr>
          <w:ilvl w:val="0"/>
          <w:numId w:val="50"/>
        </w:numPr>
        <w:pBdr>
          <w:top w:val="nil"/>
          <w:left w:val="nil"/>
          <w:bottom w:val="nil"/>
          <w:right w:val="nil"/>
          <w:between w:val="nil"/>
        </w:pBdr>
        <w:tabs>
          <w:tab w:val="left" w:pos="911"/>
        </w:tabs>
        <w:spacing w:before="1" w:line="273" w:lineRule="auto"/>
        <w:ind w:right="177" w:firstLine="0"/>
        <w:jc w:val="both"/>
        <w:rPr>
          <w:rFonts w:ascii="Arial" w:eastAsia="Arial" w:hAnsi="Arial" w:cs="Arial"/>
          <w:color w:val="000000"/>
        </w:rPr>
      </w:pPr>
      <w:r>
        <w:rPr>
          <w:rFonts w:ascii="Arial" w:eastAsia="Arial" w:hAnsi="Arial" w:cs="Arial"/>
          <w:color w:val="000000"/>
        </w:rPr>
        <w:t>Son días inhábiles los sábados, domingos y los días feriados no laborables, así como los días no laborales en general entendidos como aquellos no laborables para el sector público, los días festivos o de duelo nacional. Excepcionalmente, los árbitros podrán habilitar, previa notificación a las partes, días inhábiles para llevar a cabo determinadas actuaciones.</w:t>
      </w:r>
    </w:p>
    <w:p w14:paraId="58E74A0C" w14:textId="77777777" w:rsidR="00CD23AE" w:rsidRDefault="00127FFC">
      <w:pPr>
        <w:numPr>
          <w:ilvl w:val="0"/>
          <w:numId w:val="50"/>
        </w:numPr>
        <w:pBdr>
          <w:top w:val="nil"/>
          <w:left w:val="nil"/>
          <w:bottom w:val="nil"/>
          <w:right w:val="nil"/>
          <w:between w:val="nil"/>
        </w:pBdr>
        <w:tabs>
          <w:tab w:val="left" w:pos="811"/>
        </w:tabs>
        <w:spacing w:before="187" w:line="273" w:lineRule="auto"/>
        <w:ind w:right="177" w:firstLine="0"/>
        <w:jc w:val="both"/>
        <w:rPr>
          <w:rFonts w:ascii="Arial" w:eastAsia="Arial" w:hAnsi="Arial" w:cs="Arial"/>
          <w:color w:val="000000"/>
        </w:rPr>
      </w:pPr>
      <w:r>
        <w:rPr>
          <w:rFonts w:ascii="Arial" w:eastAsia="Arial" w:hAnsi="Arial" w:cs="Arial"/>
          <w:color w:val="000000"/>
        </w:rPr>
        <w:t>Los plazos comenzarán a computarse desde el día hábil siguiente de la fecha de la notificación que obra en el expediente.</w:t>
      </w:r>
    </w:p>
    <w:p w14:paraId="3C1092B0" w14:textId="77777777" w:rsidR="00CD23AE" w:rsidRDefault="00127FFC">
      <w:pPr>
        <w:numPr>
          <w:ilvl w:val="0"/>
          <w:numId w:val="50"/>
        </w:numPr>
        <w:pBdr>
          <w:top w:val="nil"/>
          <w:left w:val="nil"/>
          <w:bottom w:val="nil"/>
          <w:right w:val="nil"/>
          <w:between w:val="nil"/>
        </w:pBdr>
        <w:tabs>
          <w:tab w:val="left" w:pos="794"/>
        </w:tabs>
        <w:spacing w:before="192" w:line="273" w:lineRule="auto"/>
        <w:ind w:left="482" w:right="197" w:firstLine="0"/>
        <w:jc w:val="both"/>
        <w:rPr>
          <w:rFonts w:ascii="Arial" w:eastAsia="Arial" w:hAnsi="Arial" w:cs="Arial"/>
          <w:color w:val="000000"/>
        </w:rPr>
      </w:pPr>
      <w:r>
        <w:rPr>
          <w:rFonts w:ascii="Arial" w:eastAsia="Arial" w:hAnsi="Arial" w:cs="Arial"/>
          <w:color w:val="000000"/>
        </w:rPr>
        <w:t>Si el cómputo es realizado en días calendario, el vencimiento de un plazo en día inhábil determinará su prórroga hasta el día hábil inmediato siguiente.</w:t>
      </w:r>
    </w:p>
    <w:p w14:paraId="62D84C17" w14:textId="77777777" w:rsidR="00CD23AE" w:rsidRDefault="00127FFC">
      <w:pPr>
        <w:numPr>
          <w:ilvl w:val="0"/>
          <w:numId w:val="50"/>
        </w:numPr>
        <w:pBdr>
          <w:top w:val="nil"/>
          <w:left w:val="nil"/>
          <w:bottom w:val="nil"/>
          <w:right w:val="nil"/>
          <w:between w:val="nil"/>
        </w:pBdr>
        <w:tabs>
          <w:tab w:val="left" w:pos="853"/>
        </w:tabs>
        <w:spacing w:before="191" w:line="273" w:lineRule="auto"/>
        <w:ind w:right="177" w:firstLine="0"/>
        <w:jc w:val="both"/>
        <w:rPr>
          <w:rFonts w:ascii="Arial" w:eastAsia="Arial" w:hAnsi="Arial" w:cs="Arial"/>
          <w:color w:val="000000"/>
        </w:rPr>
      </w:pPr>
      <w:r>
        <w:rPr>
          <w:rFonts w:ascii="Arial" w:eastAsia="Arial" w:hAnsi="Arial" w:cs="Arial"/>
          <w:color w:val="000000"/>
        </w:rPr>
        <w:t>Si las circunstancias lo ameritan, el Centro y, en su caso, el Tribunal Arbitral, pueden modificar los plazos previstos en el presente Reglamento o cualquier plazo que se fije, incluso los que pudieran haberse vencido.</w:t>
      </w:r>
    </w:p>
    <w:p w14:paraId="1EEC0C9D" w14:textId="77777777" w:rsidR="00CD23AE" w:rsidRDefault="00CD23AE">
      <w:pPr>
        <w:pBdr>
          <w:top w:val="nil"/>
          <w:left w:val="nil"/>
          <w:bottom w:val="nil"/>
          <w:right w:val="nil"/>
          <w:between w:val="nil"/>
        </w:pBdr>
        <w:spacing w:before="18"/>
        <w:jc w:val="both"/>
        <w:rPr>
          <w:rFonts w:ascii="Arial" w:eastAsia="Arial" w:hAnsi="Arial" w:cs="Arial"/>
          <w:color w:val="000000"/>
          <w:sz w:val="25"/>
          <w:szCs w:val="25"/>
        </w:rPr>
      </w:pPr>
    </w:p>
    <w:p w14:paraId="60AC98FB" w14:textId="77777777" w:rsidR="00CD23AE" w:rsidRDefault="00127FFC">
      <w:pPr>
        <w:pStyle w:val="Ttulo6"/>
        <w:ind w:left="502"/>
        <w:jc w:val="both"/>
        <w:rPr>
          <w:rFonts w:ascii="Arial" w:eastAsia="Arial" w:hAnsi="Arial" w:cs="Arial"/>
          <w:sz w:val="24"/>
          <w:szCs w:val="24"/>
        </w:rPr>
      </w:pPr>
      <w:r>
        <w:rPr>
          <w:rFonts w:ascii="Arial" w:eastAsia="Arial" w:hAnsi="Arial" w:cs="Arial"/>
          <w:color w:val="916F41"/>
          <w:sz w:val="24"/>
          <w:szCs w:val="24"/>
        </w:rPr>
        <w:t>ARTÍCULO 10°. -</w:t>
      </w:r>
      <w:r>
        <w:rPr>
          <w:rFonts w:ascii="Arial" w:eastAsia="Arial" w:hAnsi="Arial" w:cs="Arial"/>
          <w:color w:val="062D60"/>
          <w:sz w:val="24"/>
          <w:szCs w:val="24"/>
        </w:rPr>
        <w:t xml:space="preserve"> </w:t>
      </w:r>
      <w:r>
        <w:rPr>
          <w:rFonts w:ascii="Arial" w:eastAsia="Arial" w:hAnsi="Arial" w:cs="Arial"/>
          <w:sz w:val="24"/>
          <w:szCs w:val="24"/>
        </w:rPr>
        <w:t>PRESENTACIÓN DE ESCRITOS</w:t>
      </w:r>
    </w:p>
    <w:p w14:paraId="5875CCFE" w14:textId="77777777" w:rsidR="00CD23AE" w:rsidRDefault="00127FFC">
      <w:pPr>
        <w:numPr>
          <w:ilvl w:val="0"/>
          <w:numId w:val="49"/>
        </w:numPr>
        <w:pBdr>
          <w:top w:val="nil"/>
          <w:left w:val="nil"/>
          <w:bottom w:val="nil"/>
          <w:right w:val="nil"/>
          <w:between w:val="nil"/>
        </w:pBdr>
        <w:tabs>
          <w:tab w:val="left" w:pos="739"/>
        </w:tabs>
        <w:spacing w:before="220" w:line="273" w:lineRule="auto"/>
        <w:ind w:left="482" w:right="197" w:firstLine="0"/>
        <w:jc w:val="both"/>
        <w:rPr>
          <w:rFonts w:ascii="Arial" w:eastAsia="Arial" w:hAnsi="Arial" w:cs="Arial"/>
          <w:color w:val="000000"/>
        </w:rPr>
      </w:pPr>
      <w:r>
        <w:rPr>
          <w:rFonts w:ascii="Arial" w:eastAsia="Arial" w:hAnsi="Arial" w:cs="Arial"/>
          <w:color w:val="000000"/>
        </w:rPr>
        <w:t>Todos los escritos deben ser firmados por la parte que los presenta o su representante. No es necesario consignar firma de abogado. De existir abogado designado, éste podrá presentar directamente los escritos de mero trámite, así como el recurso de reconsideración.</w:t>
      </w:r>
    </w:p>
    <w:p w14:paraId="2E189F9B" w14:textId="5A51C5A3" w:rsidR="00CD23AE" w:rsidRPr="00756EE5" w:rsidRDefault="00127FFC" w:rsidP="00756EE5">
      <w:pPr>
        <w:numPr>
          <w:ilvl w:val="0"/>
          <w:numId w:val="49"/>
        </w:numPr>
        <w:pBdr>
          <w:top w:val="nil"/>
          <w:left w:val="nil"/>
          <w:bottom w:val="nil"/>
          <w:right w:val="nil"/>
          <w:between w:val="nil"/>
        </w:pBdr>
        <w:tabs>
          <w:tab w:val="left" w:pos="771"/>
        </w:tabs>
        <w:spacing w:before="189" w:line="273" w:lineRule="auto"/>
        <w:ind w:left="482" w:right="197" w:firstLine="0"/>
        <w:jc w:val="both"/>
        <w:rPr>
          <w:rFonts w:ascii="Arial" w:eastAsia="Arial" w:hAnsi="Arial" w:cs="Arial"/>
          <w:color w:val="000000"/>
        </w:rPr>
      </w:pPr>
      <w:r>
        <w:rPr>
          <w:rFonts w:ascii="Arial" w:eastAsia="Arial" w:hAnsi="Arial" w:cs="Arial"/>
          <w:color w:val="000000"/>
        </w:rPr>
        <w:t>La presentación de los escritos y cualquier comunicación de las partes al Centro deben ser realizadas de manera electrónica y/o física, en cuyo caso, la Secretaría General dejará constancia de la fecha y hora en que se recibieron los mismos.</w:t>
      </w:r>
    </w:p>
    <w:p w14:paraId="01AFC29F" w14:textId="77777777" w:rsidR="00CD23AE" w:rsidRDefault="00127FFC">
      <w:pPr>
        <w:pStyle w:val="Ttulo6"/>
        <w:spacing w:before="201"/>
        <w:ind w:left="502"/>
        <w:jc w:val="both"/>
        <w:rPr>
          <w:rFonts w:ascii="Arial" w:eastAsia="Arial" w:hAnsi="Arial" w:cs="Arial"/>
          <w:sz w:val="24"/>
          <w:szCs w:val="24"/>
        </w:rPr>
      </w:pPr>
      <w:r>
        <w:rPr>
          <w:rFonts w:ascii="Arial" w:eastAsia="Arial" w:hAnsi="Arial" w:cs="Arial"/>
          <w:color w:val="916F41"/>
          <w:sz w:val="24"/>
          <w:szCs w:val="24"/>
        </w:rPr>
        <w:t xml:space="preserve">ARTÍCULO 11°- </w:t>
      </w:r>
      <w:r>
        <w:rPr>
          <w:rFonts w:ascii="Arial" w:eastAsia="Arial" w:hAnsi="Arial" w:cs="Arial"/>
          <w:sz w:val="24"/>
          <w:szCs w:val="24"/>
        </w:rPr>
        <w:t>IDIOMA DEL ARBITRAJE</w:t>
      </w:r>
    </w:p>
    <w:p w14:paraId="4ECA01E9" w14:textId="77777777" w:rsidR="00CD23AE" w:rsidRDefault="00127FFC">
      <w:pPr>
        <w:numPr>
          <w:ilvl w:val="0"/>
          <w:numId w:val="48"/>
        </w:numPr>
        <w:pBdr>
          <w:top w:val="nil"/>
          <w:left w:val="nil"/>
          <w:bottom w:val="nil"/>
          <w:right w:val="nil"/>
          <w:between w:val="nil"/>
        </w:pBdr>
        <w:tabs>
          <w:tab w:val="left" w:pos="743"/>
        </w:tabs>
        <w:spacing w:before="203" w:line="273" w:lineRule="auto"/>
        <w:ind w:right="177" w:firstLine="0"/>
        <w:jc w:val="both"/>
        <w:rPr>
          <w:rFonts w:ascii="Arial" w:eastAsia="Arial" w:hAnsi="Arial" w:cs="Arial"/>
          <w:color w:val="000000"/>
        </w:rPr>
      </w:pPr>
      <w:r>
        <w:rPr>
          <w:rFonts w:ascii="Arial" w:eastAsia="Arial" w:hAnsi="Arial" w:cs="Arial"/>
          <w:color w:val="000000"/>
        </w:rPr>
        <w:t>El arbitraje se desarrolla en el idioma español o aquel en el que las partes convengan. Los árbitros pueden ordenar que los documentos anexos al escrito de demanda o a la contestación y los documentos o instrumentos complementarios que se presenten durante las actuaciones en el idioma original vayan acompañados de una traducción al idioma o idiomas convenidos por las partes o determinados por los árbitros.</w:t>
      </w:r>
    </w:p>
    <w:p w14:paraId="37D51D74" w14:textId="0D2A0409" w:rsidR="00CD23AE" w:rsidRPr="00756EE5" w:rsidRDefault="00127FFC" w:rsidP="00756EE5">
      <w:pPr>
        <w:numPr>
          <w:ilvl w:val="0"/>
          <w:numId w:val="48"/>
        </w:numPr>
        <w:pBdr>
          <w:top w:val="nil"/>
          <w:left w:val="nil"/>
          <w:bottom w:val="nil"/>
          <w:right w:val="nil"/>
          <w:between w:val="nil"/>
        </w:pBdr>
        <w:tabs>
          <w:tab w:val="left" w:pos="743"/>
        </w:tabs>
        <w:spacing w:before="203" w:line="273" w:lineRule="auto"/>
        <w:ind w:right="177" w:firstLine="0"/>
        <w:jc w:val="both"/>
        <w:rPr>
          <w:rFonts w:ascii="Arial" w:eastAsia="Arial" w:hAnsi="Arial" w:cs="Arial"/>
          <w:color w:val="000000"/>
          <w:sz w:val="24"/>
          <w:szCs w:val="24"/>
        </w:rPr>
        <w:sectPr w:rsidR="00CD23AE" w:rsidRPr="00756EE5">
          <w:headerReference w:type="default" r:id="rId17"/>
          <w:footerReference w:type="default" r:id="rId18"/>
          <w:pgSz w:w="11910" w:h="16850"/>
          <w:pgMar w:top="1700" w:right="992" w:bottom="1118" w:left="708" w:header="0" w:footer="0" w:gutter="0"/>
          <w:cols w:space="720"/>
        </w:sectPr>
      </w:pPr>
      <w:r>
        <w:rPr>
          <w:rFonts w:ascii="Arial" w:eastAsia="Arial" w:hAnsi="Arial" w:cs="Arial"/>
          <w:color w:val="000000"/>
          <w:sz w:val="24"/>
          <w:szCs w:val="24"/>
        </w:rPr>
        <w:t>Asimismo, los árbitros podrán disponer que las partes proporcionen documentos o realicen determinada actividad en idioma distinto al arbitraje sin necesidad de traducción, cuando existan causas justificadas al respecto.</w:t>
      </w:r>
      <w:r>
        <w:rPr>
          <w:rFonts w:ascii="Arial" w:eastAsia="Arial" w:hAnsi="Arial" w:cs="Arial"/>
          <w:color w:val="000000"/>
          <w:sz w:val="2"/>
          <w:szCs w:val="2"/>
        </w:rPr>
        <w:t xml:space="preserve"> </w:t>
      </w:r>
    </w:p>
    <w:p w14:paraId="05D7C8E1" w14:textId="77777777" w:rsidR="00CD23AE" w:rsidRDefault="00127FFC">
      <w:pPr>
        <w:pStyle w:val="Ttulo6"/>
        <w:ind w:left="0"/>
        <w:jc w:val="center"/>
        <w:rPr>
          <w:rFonts w:ascii="Arial" w:eastAsia="Arial" w:hAnsi="Arial" w:cs="Arial"/>
          <w:color w:val="E80303"/>
          <w:sz w:val="28"/>
          <w:szCs w:val="28"/>
        </w:rPr>
      </w:pPr>
      <w:bookmarkStart w:id="4" w:name="_heading=h.meuanx36gido" w:colFirst="0" w:colLast="0"/>
      <w:bookmarkEnd w:id="4"/>
      <w:r>
        <w:rPr>
          <w:rFonts w:ascii="Arial" w:eastAsia="Arial" w:hAnsi="Arial" w:cs="Arial"/>
          <w:color w:val="E80303"/>
          <w:sz w:val="28"/>
          <w:szCs w:val="28"/>
        </w:rPr>
        <w:lastRenderedPageBreak/>
        <w:t>SECCIÓN II: DE LAS ACTUACIONES ARBITRALES</w:t>
      </w:r>
    </w:p>
    <w:p w14:paraId="42421C21" w14:textId="77777777" w:rsidR="00CD23AE" w:rsidRDefault="00127FFC" w:rsidP="00756EE5">
      <w:pPr>
        <w:pStyle w:val="Ttulo2"/>
        <w:spacing w:before="367"/>
        <w:jc w:val="both"/>
        <w:rPr>
          <w:rFonts w:ascii="Arial" w:eastAsia="Arial" w:hAnsi="Arial" w:cs="Arial"/>
          <w:b/>
          <w:color w:val="E80303"/>
          <w:sz w:val="24"/>
          <w:szCs w:val="24"/>
        </w:rPr>
      </w:pPr>
      <w:r>
        <w:rPr>
          <w:rFonts w:ascii="Arial" w:eastAsia="Arial" w:hAnsi="Arial" w:cs="Arial"/>
          <w:b/>
          <w:color w:val="E80303"/>
          <w:sz w:val="24"/>
          <w:szCs w:val="24"/>
        </w:rPr>
        <w:t>CAPÍTULO I: SOLICITUD DE ARBITRAJE</w:t>
      </w:r>
    </w:p>
    <w:p w14:paraId="7D3E0742" w14:textId="77777777" w:rsidR="00CD23AE" w:rsidRDefault="00127FFC" w:rsidP="00756EE5">
      <w:pPr>
        <w:pStyle w:val="Ttulo6"/>
        <w:spacing w:before="363"/>
        <w:jc w:val="both"/>
        <w:rPr>
          <w:rFonts w:ascii="Arial" w:eastAsia="Arial" w:hAnsi="Arial" w:cs="Arial"/>
          <w:sz w:val="24"/>
          <w:szCs w:val="24"/>
        </w:rPr>
      </w:pPr>
      <w:r>
        <w:rPr>
          <w:rFonts w:ascii="Arial" w:eastAsia="Arial" w:hAnsi="Arial" w:cs="Arial"/>
          <w:color w:val="916F41"/>
          <w:sz w:val="24"/>
          <w:szCs w:val="24"/>
        </w:rPr>
        <w:t xml:space="preserve">ARTÍCULO 12°. - </w:t>
      </w:r>
      <w:r>
        <w:rPr>
          <w:rFonts w:ascii="Arial" w:eastAsia="Arial" w:hAnsi="Arial" w:cs="Arial"/>
          <w:sz w:val="24"/>
          <w:szCs w:val="24"/>
        </w:rPr>
        <w:t>INICIO DEL ARBITRAJE</w:t>
      </w:r>
    </w:p>
    <w:p w14:paraId="4FA9770C" w14:textId="77777777" w:rsidR="00CD23AE" w:rsidRDefault="00127FFC">
      <w:pPr>
        <w:pBdr>
          <w:top w:val="nil"/>
          <w:left w:val="nil"/>
          <w:bottom w:val="nil"/>
          <w:right w:val="nil"/>
          <w:between w:val="nil"/>
        </w:pBdr>
        <w:spacing w:before="241" w:line="273" w:lineRule="auto"/>
        <w:ind w:left="482"/>
        <w:jc w:val="both"/>
        <w:rPr>
          <w:rFonts w:ascii="Arial" w:eastAsia="Arial" w:hAnsi="Arial" w:cs="Arial"/>
          <w:color w:val="000000"/>
        </w:rPr>
      </w:pPr>
      <w:r>
        <w:rPr>
          <w:rFonts w:ascii="Arial" w:eastAsia="Arial" w:hAnsi="Arial" w:cs="Arial"/>
          <w:color w:val="000000"/>
        </w:rPr>
        <w:t>El arbitraje se inicia con la solicitud de arbitraje dirigida a la Secretaría General del Centro.</w:t>
      </w:r>
    </w:p>
    <w:p w14:paraId="3348DBCE" w14:textId="77777777" w:rsidR="00CD23AE" w:rsidRDefault="00CD23AE">
      <w:pPr>
        <w:pBdr>
          <w:top w:val="nil"/>
          <w:left w:val="nil"/>
          <w:bottom w:val="nil"/>
          <w:right w:val="nil"/>
          <w:between w:val="nil"/>
        </w:pBdr>
        <w:spacing w:before="34"/>
        <w:jc w:val="both"/>
        <w:rPr>
          <w:rFonts w:ascii="Arial" w:eastAsia="Arial" w:hAnsi="Arial" w:cs="Arial"/>
          <w:color w:val="000000"/>
          <w:sz w:val="25"/>
          <w:szCs w:val="25"/>
        </w:rPr>
      </w:pPr>
    </w:p>
    <w:p w14:paraId="0D253C84" w14:textId="77777777" w:rsidR="00CD23AE" w:rsidRDefault="00127FFC" w:rsidP="00756EE5">
      <w:pPr>
        <w:pStyle w:val="Ttulo6"/>
        <w:jc w:val="both"/>
        <w:rPr>
          <w:rFonts w:ascii="Arial" w:eastAsia="Arial" w:hAnsi="Arial" w:cs="Arial"/>
          <w:sz w:val="24"/>
          <w:szCs w:val="24"/>
        </w:rPr>
      </w:pPr>
      <w:r>
        <w:rPr>
          <w:rFonts w:ascii="Arial" w:eastAsia="Arial" w:hAnsi="Arial" w:cs="Arial"/>
          <w:color w:val="916F41"/>
          <w:sz w:val="24"/>
          <w:szCs w:val="24"/>
        </w:rPr>
        <w:t>ARTÍCULO 13°. -</w:t>
      </w:r>
      <w:r>
        <w:rPr>
          <w:rFonts w:ascii="Arial" w:eastAsia="Arial" w:hAnsi="Arial" w:cs="Arial"/>
          <w:color w:val="062D60"/>
          <w:sz w:val="24"/>
          <w:szCs w:val="24"/>
        </w:rPr>
        <w:t xml:space="preserve"> </w:t>
      </w:r>
      <w:r>
        <w:rPr>
          <w:rFonts w:ascii="Arial" w:eastAsia="Arial" w:hAnsi="Arial" w:cs="Arial"/>
          <w:sz w:val="24"/>
          <w:szCs w:val="24"/>
        </w:rPr>
        <w:t>REPRESENTACIÓN Y ASESORAMIENTO</w:t>
      </w:r>
    </w:p>
    <w:p w14:paraId="688F3CC9" w14:textId="77777777" w:rsidR="00CD23AE" w:rsidRDefault="00127FFC">
      <w:pPr>
        <w:numPr>
          <w:ilvl w:val="0"/>
          <w:numId w:val="47"/>
        </w:numPr>
        <w:pBdr>
          <w:top w:val="nil"/>
          <w:left w:val="nil"/>
          <w:bottom w:val="nil"/>
          <w:right w:val="nil"/>
          <w:between w:val="nil"/>
        </w:pBdr>
        <w:tabs>
          <w:tab w:val="left" w:pos="792"/>
        </w:tabs>
        <w:spacing w:before="235" w:line="273" w:lineRule="auto"/>
        <w:ind w:left="482" w:right="197" w:firstLine="0"/>
        <w:jc w:val="both"/>
        <w:rPr>
          <w:rFonts w:ascii="Arial" w:eastAsia="Arial" w:hAnsi="Arial" w:cs="Arial"/>
          <w:color w:val="000000"/>
        </w:rPr>
      </w:pPr>
      <w:r>
        <w:rPr>
          <w:rFonts w:ascii="Arial" w:eastAsia="Arial" w:hAnsi="Arial" w:cs="Arial"/>
          <w:color w:val="000000"/>
        </w:rPr>
        <w:t>Las partes podrán comparecer en forma personal o a través de sus representantes. Asimismo, podrán ser asesoradas por personas de su elección, debiendo encontrarse acreditadas.</w:t>
      </w:r>
    </w:p>
    <w:p w14:paraId="5A1BEAFF" w14:textId="77777777" w:rsidR="00CD23AE" w:rsidRDefault="00127FFC">
      <w:pPr>
        <w:numPr>
          <w:ilvl w:val="0"/>
          <w:numId w:val="47"/>
        </w:numPr>
        <w:pBdr>
          <w:top w:val="nil"/>
          <w:left w:val="nil"/>
          <w:bottom w:val="nil"/>
          <w:right w:val="nil"/>
          <w:between w:val="nil"/>
        </w:pBdr>
        <w:tabs>
          <w:tab w:val="left" w:pos="884"/>
        </w:tabs>
        <w:spacing w:before="206" w:line="273" w:lineRule="auto"/>
        <w:ind w:left="482" w:right="197" w:firstLine="0"/>
        <w:jc w:val="both"/>
        <w:rPr>
          <w:rFonts w:ascii="Arial" w:eastAsia="Arial" w:hAnsi="Arial" w:cs="Arial"/>
          <w:color w:val="000000"/>
        </w:rPr>
      </w:pPr>
      <w:r>
        <w:rPr>
          <w:rFonts w:ascii="Arial" w:eastAsia="Arial" w:hAnsi="Arial" w:cs="Arial"/>
          <w:color w:val="000000"/>
        </w:rPr>
        <w:t>Las partes deberán comunicar por escrito al Centro, y éste a la contraparte, de cualquier cambio relacionado a su representación, domicilio y cualquier otra referencia señalada en su solicitud.</w:t>
      </w:r>
    </w:p>
    <w:p w14:paraId="7C131BC3" w14:textId="77777777" w:rsidR="00CD23AE" w:rsidRDefault="00127FFC">
      <w:pPr>
        <w:numPr>
          <w:ilvl w:val="0"/>
          <w:numId w:val="47"/>
        </w:numPr>
        <w:pBdr>
          <w:top w:val="nil"/>
          <w:left w:val="nil"/>
          <w:bottom w:val="nil"/>
          <w:right w:val="nil"/>
          <w:between w:val="nil"/>
        </w:pBdr>
        <w:tabs>
          <w:tab w:val="left" w:pos="769"/>
        </w:tabs>
        <w:spacing w:before="210" w:line="273" w:lineRule="auto"/>
        <w:ind w:left="482" w:right="197" w:firstLine="0"/>
        <w:jc w:val="both"/>
        <w:rPr>
          <w:rFonts w:ascii="Arial" w:eastAsia="Arial" w:hAnsi="Arial" w:cs="Arial"/>
          <w:color w:val="000000"/>
        </w:rPr>
      </w:pPr>
      <w:r>
        <w:rPr>
          <w:rFonts w:ascii="Arial" w:eastAsia="Arial" w:hAnsi="Arial" w:cs="Arial"/>
          <w:color w:val="000000"/>
        </w:rPr>
        <w:t>Las facultades de representación de los apoderados de las partes estarán reguladas por la ley de su domicilio. En caso una parte domicilie fuera del territorio peruano, los poderes correspondientes deberán estar legalizados por el Ministerio de Relaciones Exteriores de la República del Perú.</w:t>
      </w:r>
    </w:p>
    <w:p w14:paraId="041D13F6" w14:textId="77777777" w:rsidR="00CD23AE" w:rsidRDefault="00127FFC">
      <w:pPr>
        <w:numPr>
          <w:ilvl w:val="0"/>
          <w:numId w:val="47"/>
        </w:numPr>
        <w:pBdr>
          <w:top w:val="nil"/>
          <w:left w:val="nil"/>
          <w:bottom w:val="nil"/>
          <w:right w:val="nil"/>
          <w:between w:val="nil"/>
        </w:pBdr>
        <w:tabs>
          <w:tab w:val="left" w:pos="821"/>
        </w:tabs>
        <w:spacing w:before="204" w:line="273" w:lineRule="auto"/>
        <w:ind w:left="482" w:right="197" w:firstLine="0"/>
        <w:jc w:val="both"/>
        <w:rPr>
          <w:rFonts w:ascii="Arial" w:eastAsia="Arial" w:hAnsi="Arial" w:cs="Arial"/>
          <w:color w:val="000000"/>
        </w:rPr>
      </w:pPr>
      <w:r>
        <w:rPr>
          <w:rFonts w:ascii="Arial" w:eastAsia="Arial" w:hAnsi="Arial" w:cs="Arial"/>
          <w:color w:val="000000"/>
        </w:rPr>
        <w:t>Tratándose de un arbitraje internacional, las partes tienen el derecho a ser asistidas por abogado, nacional o extranjero.</w:t>
      </w:r>
    </w:p>
    <w:p w14:paraId="6A936B41" w14:textId="77777777" w:rsidR="00CD23AE" w:rsidRDefault="00CD23AE">
      <w:pPr>
        <w:pBdr>
          <w:top w:val="nil"/>
          <w:left w:val="nil"/>
          <w:bottom w:val="nil"/>
          <w:right w:val="nil"/>
          <w:between w:val="nil"/>
        </w:pBdr>
        <w:spacing w:before="19"/>
        <w:jc w:val="both"/>
        <w:rPr>
          <w:rFonts w:ascii="Arial" w:eastAsia="Arial" w:hAnsi="Arial" w:cs="Arial"/>
          <w:color w:val="000000"/>
          <w:sz w:val="25"/>
          <w:szCs w:val="25"/>
        </w:rPr>
      </w:pPr>
    </w:p>
    <w:p w14:paraId="348680DE" w14:textId="77777777" w:rsidR="00CD23AE" w:rsidRDefault="00127FFC" w:rsidP="00756EE5">
      <w:pPr>
        <w:pStyle w:val="Ttulo6"/>
        <w:jc w:val="both"/>
        <w:rPr>
          <w:rFonts w:ascii="Arial" w:eastAsia="Arial" w:hAnsi="Arial" w:cs="Arial"/>
          <w:sz w:val="24"/>
          <w:szCs w:val="24"/>
        </w:rPr>
      </w:pPr>
      <w:r>
        <w:rPr>
          <w:rFonts w:ascii="Arial" w:eastAsia="Arial" w:hAnsi="Arial" w:cs="Arial"/>
          <w:color w:val="916F41"/>
          <w:sz w:val="24"/>
          <w:szCs w:val="24"/>
        </w:rPr>
        <w:t xml:space="preserve">ARTÍCULO 14°. - </w:t>
      </w:r>
      <w:r>
        <w:rPr>
          <w:rFonts w:ascii="Arial" w:eastAsia="Arial" w:hAnsi="Arial" w:cs="Arial"/>
          <w:sz w:val="24"/>
          <w:szCs w:val="24"/>
        </w:rPr>
        <w:t>REQUISITOS DE LA SOLICITUD DE ARBITRAJE</w:t>
      </w:r>
    </w:p>
    <w:p w14:paraId="270A9FD7" w14:textId="77777777" w:rsidR="00CD23AE" w:rsidRDefault="00127FFC">
      <w:pPr>
        <w:pBdr>
          <w:top w:val="nil"/>
          <w:left w:val="nil"/>
          <w:bottom w:val="nil"/>
          <w:right w:val="nil"/>
          <w:between w:val="nil"/>
        </w:pBdr>
        <w:spacing w:before="242" w:line="273" w:lineRule="auto"/>
        <w:ind w:left="482"/>
        <w:jc w:val="both"/>
        <w:rPr>
          <w:rFonts w:ascii="Arial" w:eastAsia="Arial" w:hAnsi="Arial" w:cs="Arial"/>
          <w:color w:val="000000"/>
          <w:sz w:val="24"/>
          <w:szCs w:val="24"/>
        </w:rPr>
      </w:pPr>
      <w:r>
        <w:rPr>
          <w:rFonts w:ascii="Arial" w:eastAsia="Arial" w:hAnsi="Arial" w:cs="Arial"/>
          <w:color w:val="000000"/>
          <w:sz w:val="24"/>
          <w:szCs w:val="24"/>
        </w:rPr>
        <w:t>La parte que desee iniciar un arbitraje deberá solicitarlo a la Secretaría General del Centro, debiendo incluir en su solicitud:</w:t>
      </w:r>
    </w:p>
    <w:p w14:paraId="5DA2B0C1" w14:textId="77777777" w:rsidR="00CD23AE" w:rsidRDefault="00127FFC">
      <w:pPr>
        <w:numPr>
          <w:ilvl w:val="0"/>
          <w:numId w:val="46"/>
        </w:numPr>
        <w:pBdr>
          <w:top w:val="nil"/>
          <w:left w:val="nil"/>
          <w:bottom w:val="nil"/>
          <w:right w:val="nil"/>
          <w:between w:val="nil"/>
        </w:pBdr>
        <w:tabs>
          <w:tab w:val="left" w:pos="820"/>
        </w:tabs>
        <w:spacing w:before="207" w:line="273" w:lineRule="auto"/>
        <w:ind w:left="482" w:right="197" w:firstLine="0"/>
        <w:jc w:val="both"/>
        <w:rPr>
          <w:rFonts w:ascii="Arial" w:eastAsia="Arial" w:hAnsi="Arial" w:cs="Arial"/>
          <w:color w:val="000000"/>
        </w:rPr>
      </w:pPr>
      <w:r>
        <w:rPr>
          <w:rFonts w:ascii="Arial" w:eastAsia="Arial" w:hAnsi="Arial" w:cs="Arial"/>
          <w:color w:val="000000"/>
        </w:rPr>
        <w:t>La identificación del solicitante, indicando su nombre completo, el número de su documento de identidad, así como una copia del documento oficial de identidad correspondiente. En el caso de personas jurídicas se debe señalar la razón o denominación social, los datos de su inscripción en registros públicos, nombre del representante legal y número de su documento de identidad, presentando copia de los documentos pertinentes. En los casos en que una parte actúe mediante representante, el poder deberá acreditarse mediante copia certificada de la Escritura Pública, acta legalizada o, en su defecto, con la copia literal expedida por los Registros Públicos,</w:t>
      </w:r>
    </w:p>
    <w:p w14:paraId="4563B80D" w14:textId="77777777" w:rsidR="00CD23AE" w:rsidRDefault="00127FFC">
      <w:pPr>
        <w:numPr>
          <w:ilvl w:val="0"/>
          <w:numId w:val="46"/>
        </w:numPr>
        <w:pBdr>
          <w:top w:val="nil"/>
          <w:left w:val="nil"/>
          <w:bottom w:val="nil"/>
          <w:right w:val="nil"/>
          <w:between w:val="nil"/>
        </w:pBdr>
        <w:tabs>
          <w:tab w:val="left" w:pos="825"/>
        </w:tabs>
        <w:spacing w:before="197" w:line="273" w:lineRule="auto"/>
        <w:ind w:left="482" w:right="197" w:firstLine="0"/>
        <w:jc w:val="both"/>
        <w:rPr>
          <w:rFonts w:ascii="Arial" w:eastAsia="Arial" w:hAnsi="Arial" w:cs="Arial"/>
          <w:color w:val="000000"/>
        </w:rPr>
      </w:pPr>
      <w:r>
        <w:rPr>
          <w:rFonts w:ascii="Arial" w:eastAsia="Arial" w:hAnsi="Arial" w:cs="Arial"/>
          <w:color w:val="000000"/>
        </w:rPr>
        <w:t>La dirección conforme a lo establecido en el artículo 8° del presente Reglamento, así como un número de teléfono y correo electrónico</w:t>
      </w:r>
    </w:p>
    <w:p w14:paraId="1D989FB2" w14:textId="77777777" w:rsidR="00CD23AE" w:rsidRDefault="00127FFC">
      <w:pPr>
        <w:numPr>
          <w:ilvl w:val="0"/>
          <w:numId w:val="46"/>
        </w:numPr>
        <w:pBdr>
          <w:top w:val="nil"/>
          <w:left w:val="nil"/>
          <w:bottom w:val="nil"/>
          <w:right w:val="nil"/>
          <w:between w:val="nil"/>
        </w:pBdr>
        <w:tabs>
          <w:tab w:val="left" w:pos="825"/>
        </w:tabs>
        <w:spacing w:before="197" w:line="273" w:lineRule="auto"/>
        <w:ind w:left="482" w:right="197" w:firstLine="0"/>
        <w:jc w:val="both"/>
        <w:rPr>
          <w:rFonts w:ascii="Arial" w:eastAsia="Arial" w:hAnsi="Arial" w:cs="Arial"/>
          <w:color w:val="000000"/>
        </w:rPr>
      </w:pPr>
      <w:r>
        <w:rPr>
          <w:rFonts w:ascii="Arial" w:eastAsia="Arial" w:hAnsi="Arial" w:cs="Arial"/>
        </w:rPr>
        <w:t>El nombre y domicilio del demandado, y el correo electrónico de éste, si se conoce, así como cualquier otro dato relativo a su identificación que permita su adecuada notificación.</w:t>
      </w:r>
    </w:p>
    <w:p w14:paraId="03332265" w14:textId="77777777" w:rsidR="00CD23AE" w:rsidRDefault="00127FFC">
      <w:pPr>
        <w:numPr>
          <w:ilvl w:val="0"/>
          <w:numId w:val="46"/>
        </w:numPr>
        <w:pBdr>
          <w:top w:val="nil"/>
          <w:left w:val="nil"/>
          <w:bottom w:val="nil"/>
          <w:right w:val="nil"/>
          <w:between w:val="nil"/>
        </w:pBdr>
        <w:tabs>
          <w:tab w:val="left" w:pos="825"/>
        </w:tabs>
        <w:spacing w:before="197" w:line="273" w:lineRule="auto"/>
        <w:ind w:left="482" w:right="197" w:firstLine="0"/>
        <w:jc w:val="both"/>
        <w:rPr>
          <w:rFonts w:ascii="Arial" w:eastAsia="Arial" w:hAnsi="Arial" w:cs="Arial"/>
          <w:color w:val="000000"/>
        </w:rPr>
        <w:sectPr w:rsidR="00CD23AE">
          <w:headerReference w:type="default" r:id="rId19"/>
          <w:footerReference w:type="default" r:id="rId20"/>
          <w:pgSz w:w="11910" w:h="16850"/>
          <w:pgMar w:top="1180" w:right="992" w:bottom="800" w:left="708" w:header="767" w:footer="605" w:gutter="0"/>
          <w:pgNumType w:start="13"/>
          <w:cols w:space="720"/>
        </w:sectPr>
      </w:pPr>
      <w:r>
        <w:rPr>
          <w:rFonts w:ascii="Arial" w:eastAsia="Arial" w:hAnsi="Arial" w:cs="Arial"/>
        </w:rPr>
        <w:t>Copia del documento en el que conste el convenio arbitral o evidencia del compromiso escrito por las partes para someter sus controversias al Centro o, en su caso, la intención del solicitante de someter a arbitraje una controversia determinada, de no existir convenio arbitral. Asimismo, de corresponder la sindicación de la Ley y/o Reglamento que permita la administración del procedimiento arbitral por parte del Centro. De ser el caso, indicar con precisión cualquier disposición o regla pactada por las partes distinta a la del Reglamento del Centro.</w:t>
      </w:r>
    </w:p>
    <w:p w14:paraId="5BBB2F0B" w14:textId="77777777" w:rsidR="00CD23AE" w:rsidRDefault="00127FFC">
      <w:pPr>
        <w:numPr>
          <w:ilvl w:val="0"/>
          <w:numId w:val="46"/>
        </w:numPr>
        <w:tabs>
          <w:tab w:val="left" w:pos="781"/>
        </w:tabs>
        <w:spacing w:before="175" w:line="273" w:lineRule="auto"/>
        <w:ind w:left="482" w:right="197" w:firstLine="0"/>
        <w:jc w:val="both"/>
        <w:rPr>
          <w:rFonts w:ascii="Arial" w:eastAsia="Arial" w:hAnsi="Arial" w:cs="Arial"/>
        </w:rPr>
      </w:pPr>
      <w:r>
        <w:rPr>
          <w:rFonts w:ascii="Arial" w:eastAsia="Arial" w:hAnsi="Arial" w:cs="Arial"/>
        </w:rPr>
        <w:lastRenderedPageBreak/>
        <w:t>Un resumen de la controversia, desavenencia o cuestiones que se desee someter a arbitraje, con una exposición clara de los hechos, indicando las posibles pretensiones y el monto de la controversia. El solicitante podrá presentar copia de documentos relacionados con la controversia.</w:t>
      </w:r>
    </w:p>
    <w:p w14:paraId="3708953C" w14:textId="77777777" w:rsidR="00CD23AE" w:rsidRDefault="00127FFC">
      <w:pPr>
        <w:numPr>
          <w:ilvl w:val="0"/>
          <w:numId w:val="46"/>
        </w:numPr>
        <w:pBdr>
          <w:top w:val="nil"/>
          <w:left w:val="nil"/>
          <w:bottom w:val="nil"/>
          <w:right w:val="nil"/>
          <w:between w:val="nil"/>
        </w:pBdr>
        <w:tabs>
          <w:tab w:val="left" w:pos="792"/>
        </w:tabs>
        <w:spacing w:before="212" w:line="273" w:lineRule="auto"/>
        <w:ind w:left="482" w:right="197" w:firstLine="0"/>
        <w:jc w:val="both"/>
        <w:rPr>
          <w:rFonts w:ascii="Arial" w:eastAsia="Arial" w:hAnsi="Arial" w:cs="Arial"/>
          <w:color w:val="000000"/>
        </w:rPr>
      </w:pPr>
      <w:r>
        <w:rPr>
          <w:rFonts w:ascii="Arial" w:eastAsia="Arial" w:hAnsi="Arial" w:cs="Arial"/>
          <w:color w:val="000000"/>
        </w:rPr>
        <w:t>El nombre, domicilio y correo electrónico del árbitro designado o el que proponga cuando corresponda, así como la forma para su designación o el pedido para que el Consejo Superior de Arbitraje del Centro realice la designación. De no existir pronunciamiento sobre este punto por parte del solicitante, se continuará con el arbitraje conforme corresponde, prescindiéndose de una subsanación.</w:t>
      </w:r>
    </w:p>
    <w:p w14:paraId="5F520047" w14:textId="77777777" w:rsidR="00CD23AE" w:rsidRDefault="00127FFC">
      <w:pPr>
        <w:numPr>
          <w:ilvl w:val="0"/>
          <w:numId w:val="46"/>
        </w:numPr>
        <w:pBdr>
          <w:top w:val="nil"/>
          <w:left w:val="nil"/>
          <w:bottom w:val="nil"/>
          <w:right w:val="nil"/>
          <w:between w:val="nil"/>
        </w:pBdr>
        <w:tabs>
          <w:tab w:val="left" w:pos="781"/>
        </w:tabs>
        <w:spacing w:before="202" w:line="273" w:lineRule="auto"/>
        <w:ind w:left="482" w:right="197" w:firstLine="0"/>
        <w:jc w:val="both"/>
        <w:rPr>
          <w:rFonts w:ascii="Arial" w:eastAsia="Arial" w:hAnsi="Arial" w:cs="Arial"/>
          <w:color w:val="000000"/>
        </w:rPr>
      </w:pPr>
      <w:r>
        <w:rPr>
          <w:rFonts w:ascii="Arial" w:eastAsia="Arial" w:hAnsi="Arial" w:cs="Arial"/>
          <w:color w:val="000000"/>
        </w:rPr>
        <w:t>La información sobre la ejecución y estado de cualquier medida cautelar tramitada en sede judicial, adjuntándose copia de los actuados correspondientes.</w:t>
      </w:r>
    </w:p>
    <w:p w14:paraId="67E189B1" w14:textId="77777777" w:rsidR="00CD23AE" w:rsidRDefault="00127FFC">
      <w:pPr>
        <w:numPr>
          <w:ilvl w:val="0"/>
          <w:numId w:val="46"/>
        </w:numPr>
        <w:pBdr>
          <w:top w:val="nil"/>
          <w:left w:val="nil"/>
          <w:bottom w:val="nil"/>
          <w:right w:val="nil"/>
          <w:between w:val="nil"/>
        </w:pBdr>
        <w:tabs>
          <w:tab w:val="left" w:pos="851"/>
        </w:tabs>
        <w:spacing w:before="206" w:line="273" w:lineRule="auto"/>
        <w:ind w:left="482" w:right="197" w:firstLine="0"/>
        <w:jc w:val="both"/>
        <w:rPr>
          <w:rFonts w:ascii="Arial" w:eastAsia="Arial" w:hAnsi="Arial" w:cs="Arial"/>
          <w:color w:val="000000"/>
        </w:rPr>
      </w:pPr>
      <w:r>
        <w:rPr>
          <w:rFonts w:ascii="Arial" w:eastAsia="Arial" w:hAnsi="Arial" w:cs="Arial"/>
          <w:color w:val="000000"/>
        </w:rPr>
        <w:t>El comprobante de pago por concepto de tasa por presentación de solicitud de arbitraje.</w:t>
      </w:r>
    </w:p>
    <w:p w14:paraId="526C4CB3" w14:textId="77777777" w:rsidR="00CD23AE" w:rsidRDefault="00CD23AE">
      <w:pPr>
        <w:pBdr>
          <w:top w:val="nil"/>
          <w:left w:val="nil"/>
          <w:bottom w:val="nil"/>
          <w:right w:val="nil"/>
          <w:between w:val="nil"/>
        </w:pBdr>
        <w:spacing w:before="94"/>
        <w:jc w:val="both"/>
        <w:rPr>
          <w:rFonts w:ascii="Calibri" w:eastAsia="Calibri" w:hAnsi="Calibri" w:cs="Calibri"/>
          <w:color w:val="000000"/>
          <w:sz w:val="24"/>
          <w:szCs w:val="24"/>
        </w:rPr>
      </w:pPr>
    </w:p>
    <w:p w14:paraId="1FC76378" w14:textId="77777777" w:rsidR="00CD23AE" w:rsidRDefault="00127FFC" w:rsidP="00756EE5">
      <w:pPr>
        <w:pStyle w:val="Ttulo6"/>
        <w:jc w:val="both"/>
        <w:rPr>
          <w:rFonts w:ascii="Calibri" w:eastAsia="Calibri" w:hAnsi="Calibri" w:cs="Calibri"/>
          <w:sz w:val="24"/>
          <w:szCs w:val="24"/>
        </w:rPr>
      </w:pPr>
      <w:r>
        <w:rPr>
          <w:rFonts w:ascii="Calibri" w:eastAsia="Calibri" w:hAnsi="Calibri" w:cs="Calibri"/>
          <w:color w:val="916F41"/>
          <w:sz w:val="24"/>
          <w:szCs w:val="24"/>
        </w:rPr>
        <w:t xml:space="preserve">ARTÍCULO 15°. - </w:t>
      </w:r>
      <w:r>
        <w:rPr>
          <w:rFonts w:ascii="Calibri" w:eastAsia="Calibri" w:hAnsi="Calibri" w:cs="Calibri"/>
          <w:sz w:val="24"/>
          <w:szCs w:val="24"/>
        </w:rPr>
        <w:t>ADMISIÓN A TRÁMITE DE LA SOLICITUD DE ARBITRAJE</w:t>
      </w:r>
    </w:p>
    <w:p w14:paraId="3F3FB069" w14:textId="77777777" w:rsidR="00CD23AE" w:rsidRDefault="00127FFC">
      <w:pPr>
        <w:numPr>
          <w:ilvl w:val="0"/>
          <w:numId w:val="44"/>
        </w:numPr>
        <w:pBdr>
          <w:top w:val="nil"/>
          <w:left w:val="nil"/>
          <w:bottom w:val="nil"/>
          <w:right w:val="nil"/>
          <w:between w:val="nil"/>
        </w:pBdr>
        <w:tabs>
          <w:tab w:val="left" w:pos="780"/>
        </w:tabs>
        <w:spacing w:before="235" w:line="273" w:lineRule="auto"/>
        <w:ind w:left="482" w:right="197" w:firstLine="0"/>
        <w:jc w:val="both"/>
        <w:rPr>
          <w:rFonts w:ascii="Arial" w:eastAsia="Arial" w:hAnsi="Arial" w:cs="Arial"/>
          <w:color w:val="000000"/>
        </w:rPr>
      </w:pPr>
      <w:r>
        <w:rPr>
          <w:rFonts w:ascii="Arial" w:eastAsia="Arial" w:hAnsi="Arial" w:cs="Arial"/>
          <w:color w:val="000000"/>
        </w:rPr>
        <w:t>La Secretaría General verifica el cumplimiento de los requisitos de la solicitud de arbitraje.</w:t>
      </w:r>
    </w:p>
    <w:p w14:paraId="095F805E" w14:textId="77777777" w:rsidR="00CD23AE" w:rsidRDefault="00127FFC">
      <w:pPr>
        <w:numPr>
          <w:ilvl w:val="0"/>
          <w:numId w:val="44"/>
        </w:numPr>
        <w:pBdr>
          <w:top w:val="nil"/>
          <w:left w:val="nil"/>
          <w:bottom w:val="nil"/>
          <w:right w:val="nil"/>
          <w:between w:val="nil"/>
        </w:pBdr>
        <w:tabs>
          <w:tab w:val="left" w:pos="772"/>
        </w:tabs>
        <w:spacing w:before="112" w:line="273" w:lineRule="auto"/>
        <w:ind w:left="482" w:right="197" w:firstLine="0"/>
        <w:jc w:val="both"/>
        <w:rPr>
          <w:rFonts w:ascii="Arial" w:eastAsia="Arial" w:hAnsi="Arial" w:cs="Arial"/>
        </w:rPr>
      </w:pPr>
      <w:r>
        <w:rPr>
          <w:rFonts w:ascii="Arial" w:eastAsia="Arial" w:hAnsi="Arial" w:cs="Arial"/>
          <w:color w:val="000000"/>
        </w:rPr>
        <w:t>Si la solicitud de arbitraje cumple con los requisitos, la Secretaría General pondrá en conocimiento de la otra parte, a fin de que ésta se apersone, dentro de un plazo de cinco (5) días hábiles siguientes de notificado y remitirá una comunicación al solicitante informándole que su solicitud de arbitraje fue admitida a trámite.</w:t>
      </w:r>
    </w:p>
    <w:p w14:paraId="2FCC4FEB" w14:textId="77777777" w:rsidR="00CD23AE" w:rsidRDefault="00127FFC">
      <w:pPr>
        <w:numPr>
          <w:ilvl w:val="0"/>
          <w:numId w:val="44"/>
        </w:numPr>
        <w:pBdr>
          <w:top w:val="nil"/>
          <w:left w:val="nil"/>
          <w:bottom w:val="nil"/>
          <w:right w:val="nil"/>
          <w:between w:val="nil"/>
        </w:pBdr>
        <w:tabs>
          <w:tab w:val="left" w:pos="837"/>
        </w:tabs>
        <w:spacing w:before="211" w:line="273" w:lineRule="auto"/>
        <w:ind w:left="482" w:right="197" w:firstLine="0"/>
        <w:jc w:val="both"/>
        <w:rPr>
          <w:rFonts w:ascii="Arial" w:eastAsia="Arial" w:hAnsi="Arial" w:cs="Arial"/>
          <w:color w:val="000000"/>
        </w:rPr>
      </w:pPr>
      <w:r>
        <w:rPr>
          <w:rFonts w:ascii="Arial" w:eastAsia="Arial" w:hAnsi="Arial" w:cs="Arial"/>
          <w:color w:val="000000"/>
        </w:rPr>
        <w:t>En el caso que la solicitud de arbitraje no cumpla con los requisitos establecidos en el presente Reglamento, se otorgará un plazo de cinco (5) días hábiles para que la parte subsane las omisiones. La Secretaría General, a su solo criterio, podrá ampliar el plazo de subsanación, de acuerdo con las circunstancias. De no subsanarse las omisiones, la Secretaría General podrá disponer el archivo del expediente, salvo que se trate de lo exigido en los incisos f) y g) del artículo 14; sin perjuicio del derecho del solicitante de volver a presentar su solicitud de arbitraje, de ser el caso. La decisión emitida sobre el archivamiento del proceso solo podrá ser revisada en circunstancias excepcionales que la Secretaría General considere.</w:t>
      </w:r>
    </w:p>
    <w:p w14:paraId="4C22C5EF" w14:textId="77777777" w:rsidR="00CD23AE" w:rsidRDefault="00127FFC">
      <w:pPr>
        <w:numPr>
          <w:ilvl w:val="0"/>
          <w:numId w:val="44"/>
        </w:numPr>
        <w:pBdr>
          <w:top w:val="nil"/>
          <w:left w:val="nil"/>
          <w:bottom w:val="nil"/>
          <w:right w:val="nil"/>
          <w:between w:val="nil"/>
        </w:pBdr>
        <w:tabs>
          <w:tab w:val="left" w:pos="837"/>
        </w:tabs>
        <w:spacing w:before="211" w:line="273" w:lineRule="auto"/>
        <w:ind w:left="482" w:right="197" w:firstLine="0"/>
        <w:jc w:val="both"/>
        <w:rPr>
          <w:rFonts w:ascii="Arial" w:eastAsia="Arial" w:hAnsi="Arial" w:cs="Arial"/>
          <w:color w:val="000000"/>
        </w:rPr>
      </w:pPr>
      <w:r>
        <w:rPr>
          <w:rFonts w:ascii="Arial" w:eastAsia="Arial" w:hAnsi="Arial" w:cs="Arial"/>
          <w:color w:val="000000"/>
        </w:rPr>
        <w:t>La interposición de un recurso o cuestión previa contra la admisión a trámite o referido a la competencia de los árbitros será resuelto por éstos con posterioridad a su constitución.</w:t>
      </w:r>
    </w:p>
    <w:p w14:paraId="6D103A50" w14:textId="77777777" w:rsidR="00CD23AE" w:rsidRDefault="00CD23AE">
      <w:pPr>
        <w:pBdr>
          <w:top w:val="nil"/>
          <w:left w:val="nil"/>
          <w:bottom w:val="nil"/>
          <w:right w:val="nil"/>
          <w:between w:val="nil"/>
        </w:pBdr>
        <w:spacing w:before="54"/>
        <w:jc w:val="both"/>
        <w:rPr>
          <w:color w:val="000000"/>
          <w:sz w:val="25"/>
          <w:szCs w:val="25"/>
        </w:rPr>
      </w:pPr>
    </w:p>
    <w:p w14:paraId="2299FCC2" w14:textId="77777777" w:rsidR="00CD23AE" w:rsidRDefault="00127FFC" w:rsidP="00756EE5">
      <w:pPr>
        <w:pStyle w:val="Ttulo6"/>
        <w:spacing w:line="268" w:lineRule="auto"/>
        <w:jc w:val="both"/>
        <w:rPr>
          <w:rFonts w:ascii="Calibri" w:eastAsia="Calibri" w:hAnsi="Calibri" w:cs="Calibri"/>
          <w:sz w:val="24"/>
          <w:szCs w:val="24"/>
        </w:rPr>
      </w:pPr>
      <w:r>
        <w:rPr>
          <w:rFonts w:ascii="Calibri" w:eastAsia="Calibri" w:hAnsi="Calibri" w:cs="Calibri"/>
          <w:color w:val="916F41"/>
          <w:sz w:val="24"/>
          <w:szCs w:val="24"/>
        </w:rPr>
        <w:t xml:space="preserve">ARTÍCULO 16°. - </w:t>
      </w:r>
      <w:r>
        <w:rPr>
          <w:rFonts w:ascii="Calibri" w:eastAsia="Calibri" w:hAnsi="Calibri" w:cs="Calibri"/>
          <w:sz w:val="24"/>
          <w:szCs w:val="24"/>
        </w:rPr>
        <w:t>CONTESTACIÓN A LA SOLICITUD DE ARBITRAJE. OPOSICIÓN AL ARBITRAJE</w:t>
      </w:r>
    </w:p>
    <w:p w14:paraId="08827552" w14:textId="77777777" w:rsidR="00CD23AE" w:rsidRDefault="00127FFC">
      <w:pPr>
        <w:numPr>
          <w:ilvl w:val="0"/>
          <w:numId w:val="43"/>
        </w:numPr>
        <w:pBdr>
          <w:top w:val="nil"/>
          <w:left w:val="nil"/>
          <w:bottom w:val="nil"/>
          <w:right w:val="nil"/>
          <w:between w:val="nil"/>
        </w:pBdr>
        <w:tabs>
          <w:tab w:val="left" w:pos="781"/>
        </w:tabs>
        <w:spacing w:before="214" w:line="273" w:lineRule="auto"/>
        <w:ind w:left="482" w:right="197" w:firstLine="0"/>
        <w:jc w:val="both"/>
        <w:rPr>
          <w:rFonts w:ascii="Arial" w:eastAsia="Arial" w:hAnsi="Arial" w:cs="Arial"/>
          <w:color w:val="000000"/>
        </w:rPr>
      </w:pPr>
      <w:r>
        <w:rPr>
          <w:rFonts w:ascii="Arial" w:eastAsia="Arial" w:hAnsi="Arial" w:cs="Arial"/>
          <w:color w:val="000000"/>
        </w:rPr>
        <w:t>Dentro del plazo de cinco (5) días hábiles siguientes de notificada la solicitud de arbitraje, la parte demandada deberá presentar:</w:t>
      </w:r>
    </w:p>
    <w:p w14:paraId="0FDB9246" w14:textId="77777777" w:rsidR="00CD23AE" w:rsidRDefault="00127FFC">
      <w:pPr>
        <w:numPr>
          <w:ilvl w:val="0"/>
          <w:numId w:val="57"/>
        </w:numPr>
        <w:pBdr>
          <w:top w:val="nil"/>
          <w:left w:val="nil"/>
          <w:bottom w:val="nil"/>
          <w:right w:val="nil"/>
          <w:between w:val="nil"/>
        </w:pBdr>
        <w:spacing w:before="192"/>
        <w:ind w:left="1276"/>
        <w:jc w:val="both"/>
        <w:rPr>
          <w:rFonts w:ascii="Arial" w:eastAsia="Arial" w:hAnsi="Arial" w:cs="Arial"/>
          <w:color w:val="000000"/>
        </w:rPr>
      </w:pPr>
      <w:r>
        <w:rPr>
          <w:rFonts w:ascii="Arial" w:eastAsia="Arial" w:hAnsi="Arial" w:cs="Arial"/>
          <w:color w:val="000000"/>
        </w:rPr>
        <w:t>Su identificación nombre completo, número de documento de identidad, correo electrónico y dirección, conforme a lo dispuesto en el artículo 14° del presente Reglamento</w:t>
      </w:r>
    </w:p>
    <w:p w14:paraId="758745D8" w14:textId="77777777" w:rsidR="00CD23AE" w:rsidRDefault="00127FFC" w:rsidP="00B00FE6">
      <w:pPr>
        <w:numPr>
          <w:ilvl w:val="0"/>
          <w:numId w:val="57"/>
        </w:numPr>
        <w:pBdr>
          <w:top w:val="nil"/>
          <w:left w:val="nil"/>
          <w:bottom w:val="nil"/>
          <w:right w:val="nil"/>
          <w:between w:val="nil"/>
        </w:pBdr>
        <w:tabs>
          <w:tab w:val="left" w:pos="3054"/>
          <w:tab w:val="left" w:pos="4271"/>
          <w:tab w:val="left" w:pos="4681"/>
          <w:tab w:val="left" w:pos="6057"/>
          <w:tab w:val="left" w:pos="7682"/>
          <w:tab w:val="left" w:pos="8266"/>
          <w:tab w:val="left" w:pos="8904"/>
          <w:tab w:val="left" w:pos="9385"/>
        </w:tabs>
        <w:spacing w:before="156"/>
        <w:ind w:left="1276" w:right="198"/>
        <w:jc w:val="both"/>
        <w:rPr>
          <w:rFonts w:ascii="Arial" w:eastAsia="Arial" w:hAnsi="Arial" w:cs="Arial"/>
          <w:color w:val="000000"/>
        </w:rPr>
      </w:pPr>
      <w:r>
        <w:rPr>
          <w:rFonts w:ascii="Arial" w:eastAsia="Arial" w:hAnsi="Arial" w:cs="Arial"/>
          <w:color w:val="000000"/>
        </w:rPr>
        <w:t>Su posición acerca de la controversia o desavenencia que el solicitante somete a arbitraje, señalando, de ser el caso, adicionalmente, sus posibles pretensiones y el monto involucrado, en cuanto sea cuantificable.</w:t>
      </w:r>
    </w:p>
    <w:p w14:paraId="618F5512" w14:textId="77777777" w:rsidR="00CD23AE" w:rsidRDefault="00127FFC" w:rsidP="00B00FE6">
      <w:pPr>
        <w:numPr>
          <w:ilvl w:val="0"/>
          <w:numId w:val="57"/>
        </w:numPr>
        <w:pBdr>
          <w:top w:val="nil"/>
          <w:left w:val="nil"/>
          <w:bottom w:val="nil"/>
          <w:right w:val="nil"/>
          <w:between w:val="nil"/>
        </w:pBdr>
        <w:spacing w:before="236"/>
        <w:ind w:left="1276"/>
        <w:jc w:val="both"/>
        <w:rPr>
          <w:rFonts w:ascii="Arial" w:eastAsia="Arial" w:hAnsi="Arial" w:cs="Arial"/>
          <w:color w:val="000000"/>
        </w:rPr>
      </w:pPr>
      <w:r>
        <w:rPr>
          <w:rFonts w:ascii="Arial" w:eastAsia="Arial" w:hAnsi="Arial" w:cs="Arial"/>
          <w:color w:val="000000"/>
        </w:rPr>
        <w:t>La designación de su árbitro, conforme al artículo 14° del presente Reglamento. De no existir pronunciamiento sobre este punto por parte del solicitante, se continuará con el arbitraje conforme corresponda, prescindiéndose de una subsanación.</w:t>
      </w:r>
    </w:p>
    <w:p w14:paraId="52BF7911" w14:textId="77777777" w:rsidR="00CD23AE" w:rsidRDefault="00CD23AE">
      <w:pPr>
        <w:pBdr>
          <w:top w:val="nil"/>
          <w:left w:val="nil"/>
          <w:bottom w:val="nil"/>
          <w:right w:val="nil"/>
          <w:between w:val="nil"/>
        </w:pBdr>
        <w:spacing w:before="236"/>
        <w:ind w:left="2211"/>
        <w:jc w:val="both"/>
        <w:rPr>
          <w:rFonts w:ascii="Arial" w:eastAsia="Arial" w:hAnsi="Arial" w:cs="Arial"/>
        </w:rPr>
      </w:pPr>
    </w:p>
    <w:p w14:paraId="16945FBD" w14:textId="77777777" w:rsidR="00CD23AE" w:rsidRDefault="00127FFC">
      <w:pPr>
        <w:numPr>
          <w:ilvl w:val="0"/>
          <w:numId w:val="43"/>
        </w:numPr>
        <w:pBdr>
          <w:top w:val="nil"/>
          <w:left w:val="nil"/>
          <w:bottom w:val="nil"/>
          <w:right w:val="nil"/>
          <w:between w:val="nil"/>
        </w:pBdr>
        <w:tabs>
          <w:tab w:val="left" w:pos="766"/>
        </w:tabs>
        <w:spacing w:before="96" w:line="273" w:lineRule="auto"/>
        <w:ind w:left="459" w:right="220" w:firstLine="0"/>
        <w:jc w:val="both"/>
        <w:rPr>
          <w:rFonts w:ascii="Arial" w:eastAsia="Arial" w:hAnsi="Arial" w:cs="Arial"/>
        </w:rPr>
      </w:pPr>
      <w:r>
        <w:rPr>
          <w:rFonts w:ascii="Arial" w:eastAsia="Arial" w:hAnsi="Arial" w:cs="Arial"/>
          <w:color w:val="000000"/>
        </w:rPr>
        <w:t>En el caso que la contestación de la solicitud de arbitraje no cumpliera con los requisitos establecidos en el presente Reglamento, se otorgará un plazo de cinco (5) días hábiles para que se subsanen las omisiones, el cual puede ser ampliado, excepcionalmente, a criterio de la Secretaría General. En caso de que no se subsanen las omisiones acotadas o no se conteste la solicitud, la Secretaría General proseguirá con el trámite de las actuaciones arbitrales.</w:t>
      </w:r>
    </w:p>
    <w:p w14:paraId="552991FA" w14:textId="77777777" w:rsidR="00CD23AE" w:rsidRDefault="00CD23AE">
      <w:pPr>
        <w:pBdr>
          <w:top w:val="nil"/>
          <w:left w:val="nil"/>
          <w:bottom w:val="nil"/>
          <w:right w:val="nil"/>
          <w:between w:val="nil"/>
        </w:pBdr>
        <w:tabs>
          <w:tab w:val="left" w:pos="766"/>
        </w:tabs>
        <w:spacing w:before="96" w:line="273" w:lineRule="auto"/>
        <w:ind w:left="459" w:right="220"/>
        <w:jc w:val="both"/>
        <w:rPr>
          <w:rFonts w:ascii="Arial" w:eastAsia="Arial" w:hAnsi="Arial" w:cs="Arial"/>
          <w:color w:val="000000"/>
        </w:rPr>
      </w:pPr>
    </w:p>
    <w:p w14:paraId="36D20621" w14:textId="77777777" w:rsidR="00CD23AE" w:rsidRDefault="00127FFC">
      <w:pPr>
        <w:numPr>
          <w:ilvl w:val="0"/>
          <w:numId w:val="43"/>
        </w:numPr>
        <w:pBdr>
          <w:top w:val="nil"/>
          <w:left w:val="nil"/>
          <w:bottom w:val="nil"/>
          <w:right w:val="nil"/>
          <w:between w:val="nil"/>
        </w:pBdr>
        <w:tabs>
          <w:tab w:val="left" w:pos="888"/>
        </w:tabs>
        <w:spacing w:line="273" w:lineRule="auto"/>
        <w:ind w:left="506" w:right="173" w:firstLine="0"/>
        <w:jc w:val="both"/>
        <w:rPr>
          <w:rFonts w:ascii="Arial" w:eastAsia="Arial" w:hAnsi="Arial" w:cs="Arial"/>
          <w:color w:val="000000"/>
        </w:rPr>
      </w:pPr>
      <w:r>
        <w:rPr>
          <w:rFonts w:ascii="Arial" w:eastAsia="Arial" w:hAnsi="Arial" w:cs="Arial"/>
          <w:color w:val="000000"/>
        </w:rPr>
        <w:t>En el mismo escrito de contestación a la solicitud de arbitraje, el emplazado se podrá oponer al inicio del arbitraje alegando solo los siguientes supuestos: a) La ausencia absoluta de Convenio Arbitral b) Incumplimiento del presente Reglamento</w:t>
      </w:r>
    </w:p>
    <w:p w14:paraId="3241DF74" w14:textId="77777777" w:rsidR="00CD23AE" w:rsidRDefault="00127FFC">
      <w:pPr>
        <w:numPr>
          <w:ilvl w:val="0"/>
          <w:numId w:val="43"/>
        </w:numPr>
        <w:pBdr>
          <w:top w:val="nil"/>
          <w:left w:val="nil"/>
          <w:bottom w:val="nil"/>
          <w:right w:val="nil"/>
          <w:between w:val="nil"/>
        </w:pBdr>
        <w:tabs>
          <w:tab w:val="left" w:pos="805"/>
        </w:tabs>
        <w:spacing w:before="190" w:line="273" w:lineRule="auto"/>
        <w:ind w:left="482" w:right="197" w:firstLine="0"/>
        <w:jc w:val="both"/>
        <w:rPr>
          <w:rFonts w:ascii="Arial" w:eastAsia="Arial" w:hAnsi="Arial" w:cs="Arial"/>
          <w:color w:val="000000"/>
        </w:rPr>
      </w:pPr>
      <w:r>
        <w:rPr>
          <w:rFonts w:ascii="Arial" w:eastAsia="Arial" w:hAnsi="Arial" w:cs="Arial"/>
          <w:color w:val="000000"/>
        </w:rPr>
        <w:t>En ambos casos, la Secretaría General correrá traslado de la oposición al arbitraje para que dentro del plazo de tres (3) días hábiles de notificada sea absuelta. Efectuado o no dicho pronunciamiento, el Consejo Superior de Arbitraje la resolverá mediante decisión inimpugnable.</w:t>
      </w:r>
    </w:p>
    <w:p w14:paraId="24263936" w14:textId="77777777" w:rsidR="00CD23AE" w:rsidRDefault="00127FFC">
      <w:pPr>
        <w:numPr>
          <w:ilvl w:val="0"/>
          <w:numId w:val="43"/>
        </w:numPr>
        <w:pBdr>
          <w:top w:val="nil"/>
          <w:left w:val="nil"/>
          <w:bottom w:val="nil"/>
          <w:right w:val="nil"/>
          <w:between w:val="nil"/>
        </w:pBdr>
        <w:tabs>
          <w:tab w:val="left" w:pos="793"/>
        </w:tabs>
        <w:spacing w:before="190" w:line="273" w:lineRule="auto"/>
        <w:ind w:left="482" w:right="197" w:firstLine="0"/>
        <w:jc w:val="both"/>
        <w:rPr>
          <w:rFonts w:ascii="Arial" w:eastAsia="Arial" w:hAnsi="Arial" w:cs="Arial"/>
          <w:color w:val="000000"/>
        </w:rPr>
      </w:pPr>
      <w:r>
        <w:rPr>
          <w:rFonts w:ascii="Arial" w:eastAsia="Arial" w:hAnsi="Arial" w:cs="Arial"/>
          <w:color w:val="000000"/>
        </w:rPr>
        <w:t>Cuando el emplazado se oponga a la solicitud de arbitraje por causales distintas a las señaladas, la Secretaría General podrá rechazar de plano dicha oposición, pudiendo la parte interesada formularla ante los árbitros, de acuerdo a lo dispuesto en el presente Reglamento. La decisión de la Secretaría General es irrevisable.</w:t>
      </w:r>
    </w:p>
    <w:p w14:paraId="696D9ED0" w14:textId="77777777" w:rsidR="00CD23AE" w:rsidRDefault="00127FFC">
      <w:pPr>
        <w:pStyle w:val="Ttulo6"/>
        <w:spacing w:before="278"/>
        <w:ind w:left="494"/>
        <w:jc w:val="both"/>
        <w:rPr>
          <w:rFonts w:ascii="Arial" w:eastAsia="Arial" w:hAnsi="Arial" w:cs="Arial"/>
          <w:sz w:val="24"/>
          <w:szCs w:val="24"/>
        </w:rPr>
      </w:pPr>
      <w:r>
        <w:rPr>
          <w:rFonts w:ascii="Arial" w:eastAsia="Arial" w:hAnsi="Arial" w:cs="Arial"/>
          <w:color w:val="916F41"/>
          <w:sz w:val="24"/>
          <w:szCs w:val="24"/>
        </w:rPr>
        <w:t>ARTÍCULO 17°. -</w:t>
      </w:r>
      <w:r>
        <w:rPr>
          <w:rFonts w:ascii="Arial" w:eastAsia="Arial" w:hAnsi="Arial" w:cs="Arial"/>
          <w:color w:val="062D60"/>
          <w:sz w:val="24"/>
          <w:szCs w:val="24"/>
        </w:rPr>
        <w:t xml:space="preserve"> </w:t>
      </w:r>
      <w:r>
        <w:rPr>
          <w:rFonts w:ascii="Arial" w:eastAsia="Arial" w:hAnsi="Arial" w:cs="Arial"/>
          <w:sz w:val="24"/>
          <w:szCs w:val="24"/>
        </w:rPr>
        <w:t>SOLICITUD DE INCORPORACIÓN AL ARBITRAJE</w:t>
      </w:r>
    </w:p>
    <w:p w14:paraId="2D72755E" w14:textId="77777777" w:rsidR="00CD23AE" w:rsidRDefault="00127FFC">
      <w:pPr>
        <w:numPr>
          <w:ilvl w:val="0"/>
          <w:numId w:val="42"/>
        </w:numPr>
        <w:pBdr>
          <w:top w:val="nil"/>
          <w:left w:val="nil"/>
          <w:bottom w:val="nil"/>
          <w:right w:val="nil"/>
          <w:between w:val="nil"/>
        </w:pBdr>
        <w:tabs>
          <w:tab w:val="left" w:pos="740"/>
        </w:tabs>
        <w:spacing w:before="220" w:line="273" w:lineRule="auto"/>
        <w:ind w:left="482" w:right="197" w:firstLine="0"/>
        <w:jc w:val="both"/>
        <w:rPr>
          <w:rFonts w:ascii="Arial" w:eastAsia="Arial" w:hAnsi="Arial" w:cs="Arial"/>
          <w:color w:val="000000"/>
        </w:rPr>
      </w:pPr>
      <w:r>
        <w:rPr>
          <w:rFonts w:ascii="Arial" w:eastAsia="Arial" w:hAnsi="Arial" w:cs="Arial"/>
          <w:color w:val="000000"/>
        </w:rPr>
        <w:t>Cualquiera de las partes podrá solicitar la incorporación de una persona no signataria del convenio arbitral a un arbitraje en trámite. Dicho pedido será resuelto por el Consejo Superior de Arbitraje, en caso aún no exista Tribunal Arbitral constituido.</w:t>
      </w:r>
    </w:p>
    <w:p w14:paraId="1B0D6EE4" w14:textId="77777777" w:rsidR="00CD23AE" w:rsidRDefault="00127FFC">
      <w:pPr>
        <w:numPr>
          <w:ilvl w:val="0"/>
          <w:numId w:val="42"/>
        </w:numPr>
        <w:pBdr>
          <w:top w:val="nil"/>
          <w:left w:val="nil"/>
          <w:bottom w:val="nil"/>
          <w:right w:val="nil"/>
          <w:between w:val="nil"/>
        </w:pBdr>
        <w:tabs>
          <w:tab w:val="left" w:pos="775"/>
        </w:tabs>
        <w:spacing w:before="190" w:line="273" w:lineRule="auto"/>
        <w:ind w:left="471" w:right="208" w:firstLine="0"/>
        <w:jc w:val="both"/>
        <w:rPr>
          <w:rFonts w:ascii="Arial" w:eastAsia="Arial" w:hAnsi="Arial" w:cs="Arial"/>
          <w:color w:val="000000"/>
        </w:rPr>
      </w:pPr>
      <w:r>
        <w:rPr>
          <w:rFonts w:ascii="Arial" w:eastAsia="Arial" w:hAnsi="Arial" w:cs="Arial"/>
          <w:color w:val="000000"/>
        </w:rPr>
        <w:t>La Secretaría General correrá traslado del pedido a la contraparte y a la persona no signataria por el plazo de tres (3) días hábiles. Con o sin el acuerdo de ellos, el Consejo Superior de Arbitraje dispondrá su incorporación.</w:t>
      </w:r>
    </w:p>
    <w:p w14:paraId="6D63EF33" w14:textId="77777777" w:rsidR="00CD23AE" w:rsidRDefault="00127FFC">
      <w:pPr>
        <w:numPr>
          <w:ilvl w:val="0"/>
          <w:numId w:val="42"/>
        </w:numPr>
        <w:pBdr>
          <w:top w:val="nil"/>
          <w:left w:val="nil"/>
          <w:bottom w:val="nil"/>
          <w:right w:val="nil"/>
          <w:between w:val="nil"/>
        </w:pBdr>
        <w:tabs>
          <w:tab w:val="left" w:pos="791"/>
        </w:tabs>
        <w:spacing w:before="190" w:line="273" w:lineRule="auto"/>
        <w:ind w:left="471" w:right="208" w:firstLine="0"/>
        <w:jc w:val="both"/>
        <w:rPr>
          <w:rFonts w:ascii="Arial" w:eastAsia="Arial" w:hAnsi="Arial" w:cs="Arial"/>
          <w:color w:val="000000"/>
        </w:rPr>
      </w:pPr>
      <w:r>
        <w:rPr>
          <w:rFonts w:ascii="Arial" w:eastAsia="Arial" w:hAnsi="Arial" w:cs="Arial"/>
          <w:color w:val="000000"/>
        </w:rPr>
        <w:t>En caso de que la solicitud de incorporación la realice una persona no signataria del convenio arbitral, se seguirá el mismo procedimiento del párrafo anterior y solo procederá la incorporación con el acuerdo de ambas partes, salvo que el Tribunal Arbitral considere lo contrario o el Consejo Superior de Arbitraje ante la ausencia de este último.</w:t>
      </w:r>
    </w:p>
    <w:p w14:paraId="2DDC7795" w14:textId="77777777" w:rsidR="00CD23AE" w:rsidRDefault="00127FFC">
      <w:pPr>
        <w:pStyle w:val="Ttulo6"/>
        <w:spacing w:before="253"/>
        <w:ind w:left="494"/>
        <w:jc w:val="both"/>
        <w:rPr>
          <w:rFonts w:ascii="Arial" w:eastAsia="Arial" w:hAnsi="Arial" w:cs="Arial"/>
          <w:sz w:val="24"/>
          <w:szCs w:val="24"/>
        </w:rPr>
      </w:pPr>
      <w:r>
        <w:rPr>
          <w:rFonts w:ascii="Arial" w:eastAsia="Arial" w:hAnsi="Arial" w:cs="Arial"/>
          <w:color w:val="916F41"/>
          <w:sz w:val="24"/>
          <w:szCs w:val="24"/>
        </w:rPr>
        <w:t xml:space="preserve">ARTÍCULO 18°. - </w:t>
      </w:r>
      <w:r>
        <w:rPr>
          <w:rFonts w:ascii="Arial" w:eastAsia="Arial" w:hAnsi="Arial" w:cs="Arial"/>
          <w:sz w:val="24"/>
          <w:szCs w:val="24"/>
        </w:rPr>
        <w:t>CONSOLIDACIÓN</w:t>
      </w:r>
    </w:p>
    <w:p w14:paraId="7DE452F0" w14:textId="77777777" w:rsidR="00CD23AE" w:rsidRDefault="00127FFC">
      <w:pPr>
        <w:numPr>
          <w:ilvl w:val="0"/>
          <w:numId w:val="41"/>
        </w:numPr>
        <w:pBdr>
          <w:top w:val="nil"/>
          <w:left w:val="nil"/>
          <w:bottom w:val="nil"/>
          <w:right w:val="nil"/>
          <w:between w:val="nil"/>
        </w:pBdr>
        <w:tabs>
          <w:tab w:val="left" w:pos="762"/>
        </w:tabs>
        <w:spacing w:before="184" w:line="273" w:lineRule="auto"/>
        <w:ind w:right="185" w:firstLine="0"/>
        <w:jc w:val="both"/>
        <w:rPr>
          <w:rFonts w:ascii="Arial" w:eastAsia="Arial" w:hAnsi="Arial" w:cs="Arial"/>
          <w:color w:val="000000"/>
        </w:rPr>
      </w:pPr>
      <w:bookmarkStart w:id="5" w:name="_heading=h.rgra2bzgm5f3" w:colFirst="0" w:colLast="0"/>
      <w:bookmarkEnd w:id="5"/>
      <w:r>
        <w:rPr>
          <w:rFonts w:ascii="Arial" w:eastAsia="Arial" w:hAnsi="Arial" w:cs="Arial"/>
          <w:color w:val="000000"/>
        </w:rPr>
        <w:t>En caso se presente una solicitud de arbitraje referida a una relación jurídica respecto de la cual exista otra solicitud en trámite entre las mismas partes, derivada del mismo convenio arbitral y aún no haya quedado constituido el Tribunal Arbitral, cualquiera de las partes podrá solicitar a la Secretaría General la consolidación de dichas solicitudes. Con o sin el acuerdo de la contraparte, el Consejo Superior de Arbitraje dispondrá su consolidación de considerarlo pertinente. Igualmente, se precisa que, de producirse la consolidación, el arbitraje cuya solicitud sea de fecha más reciente se consolidará en el arbitraje cuya solicitud sea de fecha anterior, debiendo el Tribunal Arbitral realizar el avocamiento de la competencia.</w:t>
      </w:r>
    </w:p>
    <w:p w14:paraId="3B4EA9CA" w14:textId="77777777" w:rsidR="00CD23AE" w:rsidRDefault="00127FFC">
      <w:pPr>
        <w:numPr>
          <w:ilvl w:val="0"/>
          <w:numId w:val="41"/>
        </w:numPr>
        <w:pBdr>
          <w:top w:val="nil"/>
          <w:left w:val="nil"/>
          <w:bottom w:val="nil"/>
          <w:right w:val="nil"/>
          <w:between w:val="nil"/>
        </w:pBdr>
        <w:tabs>
          <w:tab w:val="left" w:pos="873"/>
        </w:tabs>
        <w:spacing w:before="207" w:line="273" w:lineRule="auto"/>
        <w:ind w:left="482" w:right="197" w:firstLine="0"/>
        <w:jc w:val="both"/>
        <w:rPr>
          <w:rFonts w:ascii="Arial" w:eastAsia="Arial" w:hAnsi="Arial" w:cs="Arial"/>
          <w:color w:val="000000"/>
        </w:rPr>
      </w:pPr>
      <w:r>
        <w:rPr>
          <w:rFonts w:ascii="Arial" w:eastAsia="Arial" w:hAnsi="Arial" w:cs="Arial"/>
          <w:color w:val="000000"/>
        </w:rPr>
        <w:t>En este caso la Secretaría General corre traslado del pedido a la contraparte por un plazo de tres (3) días hábiles de notificada, de existir oposición de cualquier naturaleza, el Consejo Superior de Arbitraje puede disponer la continuación de las actuaciones arbitrales sin la consolidación. Si vencido el plazo la contraparte no manifiesta su posición se entiende que existe acuerdo respecto a la consolidación en los términos planteados por el solicitante.</w:t>
      </w:r>
    </w:p>
    <w:p w14:paraId="53D473BD" w14:textId="77777777" w:rsidR="00CD23AE" w:rsidRDefault="00127FFC">
      <w:pPr>
        <w:numPr>
          <w:ilvl w:val="0"/>
          <w:numId w:val="41"/>
        </w:numPr>
        <w:pBdr>
          <w:top w:val="nil"/>
          <w:left w:val="nil"/>
          <w:bottom w:val="nil"/>
          <w:right w:val="nil"/>
          <w:between w:val="nil"/>
        </w:pBdr>
        <w:tabs>
          <w:tab w:val="left" w:pos="828"/>
        </w:tabs>
        <w:spacing w:before="201" w:line="273" w:lineRule="auto"/>
        <w:ind w:left="482" w:right="197" w:firstLine="0"/>
        <w:jc w:val="both"/>
        <w:rPr>
          <w:rFonts w:ascii="Arial" w:eastAsia="Arial" w:hAnsi="Arial" w:cs="Arial"/>
          <w:color w:val="000000"/>
        </w:rPr>
      </w:pPr>
      <w:r>
        <w:rPr>
          <w:rFonts w:ascii="Arial" w:eastAsia="Arial" w:hAnsi="Arial" w:cs="Arial"/>
          <w:color w:val="000000"/>
        </w:rPr>
        <w:lastRenderedPageBreak/>
        <w:t>De presentarse una solicitud de arbitraje que contenga pretensiones correspondientes a más de una relación jurídica entre las mismas partes, esta podrá tramitarse como una sola solicitud de existir consentimiento expreso de ambas; de lo contrario, la demandante deberá separar las pretensiones, tramitándose cada una de manera independiente. Para todos los efectos, las fechas de ingreso de las solicitudes de arbitraje separadas serán las establecidas en la solicitud original.</w:t>
      </w:r>
    </w:p>
    <w:p w14:paraId="1868ECD5" w14:textId="77777777" w:rsidR="00CD23AE" w:rsidRDefault="00127FFC">
      <w:pPr>
        <w:numPr>
          <w:ilvl w:val="0"/>
          <w:numId w:val="41"/>
        </w:numPr>
        <w:pBdr>
          <w:top w:val="nil"/>
          <w:left w:val="nil"/>
          <w:bottom w:val="nil"/>
          <w:right w:val="nil"/>
          <w:between w:val="nil"/>
        </w:pBdr>
        <w:tabs>
          <w:tab w:val="left" w:pos="817"/>
        </w:tabs>
        <w:spacing w:before="201" w:line="273" w:lineRule="auto"/>
        <w:ind w:right="185" w:firstLine="0"/>
        <w:jc w:val="both"/>
        <w:rPr>
          <w:rFonts w:ascii="Arial" w:eastAsia="Arial" w:hAnsi="Arial" w:cs="Arial"/>
          <w:color w:val="000000"/>
        </w:rPr>
      </w:pPr>
      <w:r>
        <w:rPr>
          <w:rFonts w:ascii="Arial" w:eastAsia="Arial" w:hAnsi="Arial" w:cs="Arial"/>
          <w:color w:val="000000"/>
        </w:rPr>
        <w:t>Constituido el Tribunal Arbitral, cualquiera de las partes podrá solicitar a los árbitros la consolidación de dos o más arbitrajes siempre y cuando estén referidos a la misma relación jurídica que dio origen al arbitraje que se sigue entre las mismas partes. Previo acuerdo de estas, los árbitros dispondrán la consolidación. Para el caso de consolidación en arbitrajes sujetos a una normativa especial, se aplicará lo dispuesto en esta.</w:t>
      </w:r>
    </w:p>
    <w:p w14:paraId="0C5272AF" w14:textId="77777777" w:rsidR="00CD23AE" w:rsidRDefault="00127FFC">
      <w:pPr>
        <w:numPr>
          <w:ilvl w:val="0"/>
          <w:numId w:val="41"/>
        </w:numPr>
        <w:pBdr>
          <w:top w:val="nil"/>
          <w:left w:val="nil"/>
          <w:bottom w:val="nil"/>
          <w:right w:val="nil"/>
          <w:between w:val="nil"/>
        </w:pBdr>
        <w:tabs>
          <w:tab w:val="left" w:pos="794"/>
        </w:tabs>
        <w:spacing w:before="202" w:line="273" w:lineRule="auto"/>
        <w:ind w:left="482" w:right="197" w:firstLine="0"/>
        <w:jc w:val="both"/>
        <w:rPr>
          <w:rFonts w:ascii="Arial" w:eastAsia="Arial" w:hAnsi="Arial" w:cs="Arial"/>
          <w:color w:val="000000"/>
        </w:rPr>
      </w:pPr>
      <w:r>
        <w:rPr>
          <w:rFonts w:ascii="Arial" w:eastAsia="Arial" w:hAnsi="Arial" w:cs="Arial"/>
          <w:color w:val="000000"/>
        </w:rPr>
        <w:t>En caso existieran liquidaciones separadas o diferenciadas, ocasionadas por la consolidación de un arbitraje, la Secretaría Arbitral procederá a otorgar un plazo de diez (10) días hábiles para que las partes procesales puedan realizar el abono.</w:t>
      </w:r>
    </w:p>
    <w:p w14:paraId="52066C1B" w14:textId="77777777" w:rsidR="00CD23AE" w:rsidRDefault="00CD23AE"/>
    <w:p w14:paraId="5B6E1B0D" w14:textId="77777777" w:rsidR="00CD23AE" w:rsidRDefault="00127FFC">
      <w:pPr>
        <w:pStyle w:val="Ttulo2"/>
        <w:ind w:left="494"/>
        <w:jc w:val="both"/>
        <w:rPr>
          <w:rFonts w:ascii="Arial" w:eastAsia="Arial" w:hAnsi="Arial" w:cs="Arial"/>
          <w:b/>
          <w:color w:val="E80303"/>
          <w:sz w:val="26"/>
          <w:szCs w:val="26"/>
        </w:rPr>
      </w:pPr>
      <w:r>
        <w:rPr>
          <w:rFonts w:ascii="Arial" w:eastAsia="Arial" w:hAnsi="Arial" w:cs="Arial"/>
          <w:b/>
          <w:color w:val="E80303"/>
          <w:sz w:val="26"/>
          <w:szCs w:val="26"/>
        </w:rPr>
        <w:t>CAPÍTULO II: DEL TRIBUNAL ARBITRAL</w:t>
      </w:r>
    </w:p>
    <w:p w14:paraId="2A10BA5C" w14:textId="77777777" w:rsidR="00CD23AE" w:rsidRDefault="00127FFC">
      <w:pPr>
        <w:pStyle w:val="Ttulo3"/>
        <w:spacing w:before="188"/>
        <w:ind w:left="494"/>
        <w:jc w:val="both"/>
        <w:rPr>
          <w:rFonts w:ascii="Arial" w:eastAsia="Arial" w:hAnsi="Arial" w:cs="Arial"/>
          <w:b/>
          <w:color w:val="E80303"/>
          <w:sz w:val="26"/>
          <w:szCs w:val="26"/>
        </w:rPr>
      </w:pPr>
      <w:r>
        <w:rPr>
          <w:rFonts w:ascii="Arial" w:eastAsia="Arial" w:hAnsi="Arial" w:cs="Arial"/>
          <w:b/>
          <w:color w:val="E80303"/>
          <w:sz w:val="26"/>
          <w:szCs w:val="26"/>
        </w:rPr>
        <w:t>SUBCAPÍTULO I: DE LOS ÁRBITROS</w:t>
      </w:r>
    </w:p>
    <w:p w14:paraId="5ECA1FD4" w14:textId="77777777" w:rsidR="00CD23AE" w:rsidRDefault="00127FFC">
      <w:pPr>
        <w:pStyle w:val="Ttulo6"/>
        <w:spacing w:before="251"/>
        <w:ind w:left="494"/>
        <w:jc w:val="both"/>
        <w:rPr>
          <w:rFonts w:ascii="Arial" w:eastAsia="Arial" w:hAnsi="Arial" w:cs="Arial"/>
          <w:sz w:val="24"/>
          <w:szCs w:val="24"/>
        </w:rPr>
      </w:pPr>
      <w:r>
        <w:rPr>
          <w:rFonts w:ascii="Arial" w:eastAsia="Arial" w:hAnsi="Arial" w:cs="Arial"/>
          <w:color w:val="916F41"/>
          <w:sz w:val="24"/>
          <w:szCs w:val="24"/>
        </w:rPr>
        <w:t>ARTÍCULO 19°. -</w:t>
      </w:r>
      <w:r>
        <w:rPr>
          <w:rFonts w:ascii="Arial" w:eastAsia="Arial" w:hAnsi="Arial" w:cs="Arial"/>
          <w:color w:val="062D60"/>
          <w:sz w:val="24"/>
          <w:szCs w:val="24"/>
        </w:rPr>
        <w:t xml:space="preserve"> </w:t>
      </w:r>
      <w:r>
        <w:rPr>
          <w:rFonts w:ascii="Arial" w:eastAsia="Arial" w:hAnsi="Arial" w:cs="Arial"/>
          <w:sz w:val="24"/>
          <w:szCs w:val="24"/>
        </w:rPr>
        <w:t>NÚMERO DE ÁRBITROS</w:t>
      </w:r>
    </w:p>
    <w:p w14:paraId="0B340201" w14:textId="77777777" w:rsidR="00CD23AE" w:rsidRDefault="00127FFC">
      <w:pPr>
        <w:numPr>
          <w:ilvl w:val="0"/>
          <w:numId w:val="40"/>
        </w:numPr>
        <w:pBdr>
          <w:top w:val="nil"/>
          <w:left w:val="nil"/>
          <w:bottom w:val="nil"/>
          <w:right w:val="nil"/>
          <w:between w:val="nil"/>
        </w:pBdr>
        <w:tabs>
          <w:tab w:val="left" w:pos="729"/>
        </w:tabs>
        <w:spacing w:before="234"/>
        <w:ind w:left="729" w:hanging="235"/>
        <w:jc w:val="both"/>
        <w:rPr>
          <w:rFonts w:ascii="Arial" w:eastAsia="Arial" w:hAnsi="Arial" w:cs="Arial"/>
          <w:color w:val="000000"/>
        </w:rPr>
      </w:pPr>
      <w:r>
        <w:rPr>
          <w:rFonts w:ascii="Arial" w:eastAsia="Arial" w:hAnsi="Arial" w:cs="Arial"/>
          <w:color w:val="000000"/>
        </w:rPr>
        <w:t>El Tribunal Arbitral puede ser colegiado o unipersonal.</w:t>
      </w:r>
    </w:p>
    <w:p w14:paraId="653D88BF" w14:textId="77777777" w:rsidR="00CD23AE" w:rsidRDefault="00127FFC">
      <w:pPr>
        <w:numPr>
          <w:ilvl w:val="0"/>
          <w:numId w:val="40"/>
        </w:numPr>
        <w:pBdr>
          <w:top w:val="nil"/>
          <w:left w:val="nil"/>
          <w:bottom w:val="nil"/>
          <w:right w:val="nil"/>
          <w:between w:val="nil"/>
        </w:pBdr>
        <w:tabs>
          <w:tab w:val="left" w:pos="729"/>
        </w:tabs>
        <w:spacing w:before="234"/>
        <w:ind w:left="729" w:hanging="235"/>
        <w:jc w:val="both"/>
        <w:rPr>
          <w:rFonts w:ascii="Arial" w:eastAsia="Arial" w:hAnsi="Arial" w:cs="Arial"/>
          <w:color w:val="000000"/>
        </w:rPr>
      </w:pPr>
      <w:r>
        <w:rPr>
          <w:rFonts w:ascii="Arial" w:eastAsia="Arial" w:hAnsi="Arial" w:cs="Arial"/>
          <w:color w:val="000000"/>
        </w:rPr>
        <w:t>Cuando las partes no hayan convenido el número de árbitros, o el convenio arbitral tiene estipulaciones contradictorias o ambiguas o no especifique, el Tribunal Arbitral será Unipersonal, es decir Árbitro Único, el cual será designado por el Consejo Superior de Arbitraje. En caso del Tribunal Arbitral colegiado, el número de árbitros debe ser un mínimo de tres (3).</w:t>
      </w:r>
    </w:p>
    <w:p w14:paraId="04B403EC" w14:textId="77777777" w:rsidR="00CD23AE" w:rsidRDefault="00127FFC">
      <w:pPr>
        <w:numPr>
          <w:ilvl w:val="0"/>
          <w:numId w:val="40"/>
        </w:numPr>
        <w:pBdr>
          <w:top w:val="nil"/>
          <w:left w:val="nil"/>
          <w:bottom w:val="nil"/>
          <w:right w:val="nil"/>
          <w:between w:val="nil"/>
        </w:pBdr>
        <w:tabs>
          <w:tab w:val="left" w:pos="729"/>
        </w:tabs>
        <w:spacing w:before="234"/>
        <w:ind w:left="729" w:hanging="235"/>
        <w:jc w:val="both"/>
        <w:rPr>
          <w:rFonts w:ascii="Arial" w:eastAsia="Arial" w:hAnsi="Arial" w:cs="Arial"/>
          <w:color w:val="000000"/>
        </w:rPr>
      </w:pPr>
      <w:r>
        <w:rPr>
          <w:rFonts w:ascii="Arial" w:eastAsia="Arial" w:hAnsi="Arial" w:cs="Arial"/>
          <w:color w:val="000000"/>
        </w:rPr>
        <w:t>Si el convenio arbitral estableciera un número par de árbitros, los árbitros que se designen procederán al nombramiento de un árbitro adicional, que actuará como presidente del Tribunal Arbitral. De no realizarse tal nombramiento, la designación la efectuará el Centro.</w:t>
      </w:r>
    </w:p>
    <w:p w14:paraId="090723DE" w14:textId="77777777" w:rsidR="00CD23AE" w:rsidRDefault="00127FFC">
      <w:pPr>
        <w:numPr>
          <w:ilvl w:val="0"/>
          <w:numId w:val="40"/>
        </w:numPr>
        <w:pBdr>
          <w:top w:val="nil"/>
          <w:left w:val="nil"/>
          <w:bottom w:val="nil"/>
          <w:right w:val="nil"/>
          <w:between w:val="nil"/>
        </w:pBdr>
        <w:tabs>
          <w:tab w:val="left" w:pos="729"/>
        </w:tabs>
        <w:spacing w:before="234"/>
        <w:ind w:left="729" w:hanging="235"/>
        <w:jc w:val="both"/>
        <w:rPr>
          <w:rFonts w:ascii="Arial" w:eastAsia="Arial" w:hAnsi="Arial" w:cs="Arial"/>
          <w:color w:val="000000"/>
        </w:rPr>
      </w:pPr>
      <w:r>
        <w:rPr>
          <w:rFonts w:ascii="Arial" w:eastAsia="Arial" w:hAnsi="Arial" w:cs="Arial"/>
          <w:color w:val="000000"/>
        </w:rPr>
        <w:t>Salvo pacto en contrario, la designación de los árbitros se realizará conforme a lo dispuesto en este Reglamento</w:t>
      </w:r>
    </w:p>
    <w:p w14:paraId="71F7B8CA" w14:textId="77777777" w:rsidR="00CD23AE" w:rsidRDefault="00CD23AE">
      <w:pPr>
        <w:pBdr>
          <w:top w:val="nil"/>
          <w:left w:val="nil"/>
          <w:bottom w:val="nil"/>
          <w:right w:val="nil"/>
          <w:between w:val="nil"/>
        </w:pBdr>
        <w:spacing w:before="27"/>
        <w:jc w:val="both"/>
        <w:rPr>
          <w:rFonts w:ascii="Arial" w:eastAsia="Arial" w:hAnsi="Arial" w:cs="Arial"/>
          <w:color w:val="916F41"/>
          <w:sz w:val="32"/>
          <w:szCs w:val="32"/>
        </w:rPr>
      </w:pPr>
    </w:p>
    <w:p w14:paraId="4778FF9D" w14:textId="77777777" w:rsidR="00CD23AE" w:rsidRDefault="00127FFC">
      <w:pPr>
        <w:pStyle w:val="Ttulo6"/>
        <w:ind w:left="509"/>
        <w:jc w:val="both"/>
        <w:rPr>
          <w:rFonts w:ascii="Arial" w:eastAsia="Arial" w:hAnsi="Arial" w:cs="Arial"/>
          <w:sz w:val="24"/>
          <w:szCs w:val="24"/>
        </w:rPr>
      </w:pPr>
      <w:r>
        <w:rPr>
          <w:rFonts w:ascii="Arial" w:eastAsia="Arial" w:hAnsi="Arial" w:cs="Arial"/>
          <w:color w:val="916F41"/>
          <w:sz w:val="24"/>
          <w:szCs w:val="24"/>
        </w:rPr>
        <w:t>ARTÍCULO 20°. -</w:t>
      </w:r>
      <w:r>
        <w:rPr>
          <w:rFonts w:ascii="Arial" w:eastAsia="Arial" w:hAnsi="Arial" w:cs="Arial"/>
          <w:color w:val="062D60"/>
          <w:sz w:val="24"/>
          <w:szCs w:val="24"/>
        </w:rPr>
        <w:t xml:space="preserve"> </w:t>
      </w:r>
      <w:r>
        <w:rPr>
          <w:rFonts w:ascii="Arial" w:eastAsia="Arial" w:hAnsi="Arial" w:cs="Arial"/>
          <w:sz w:val="24"/>
          <w:szCs w:val="24"/>
        </w:rPr>
        <w:t>NACIONALIDAD</w:t>
      </w:r>
    </w:p>
    <w:p w14:paraId="07F308F9" w14:textId="77777777" w:rsidR="00CD23AE" w:rsidRDefault="00127FFC">
      <w:pPr>
        <w:pBdr>
          <w:top w:val="nil"/>
          <w:left w:val="nil"/>
          <w:bottom w:val="nil"/>
          <w:right w:val="nil"/>
          <w:between w:val="nil"/>
        </w:pBdr>
        <w:spacing w:before="220" w:line="273" w:lineRule="auto"/>
        <w:ind w:left="496" w:right="183"/>
        <w:jc w:val="both"/>
        <w:rPr>
          <w:rFonts w:ascii="Arial" w:eastAsia="Arial" w:hAnsi="Arial" w:cs="Arial"/>
          <w:color w:val="000000"/>
        </w:rPr>
      </w:pPr>
      <w:r>
        <w:rPr>
          <w:rFonts w:ascii="Arial" w:eastAsia="Arial" w:hAnsi="Arial" w:cs="Arial"/>
          <w:color w:val="000000"/>
        </w:rPr>
        <w:t>Tratándose de un arbitraje internacional, el árbitro único o el presidente del tribunal arbitral, deberá ser de una nacionalidad distinta a la de las partes. No obstante, y siempre que ninguna de las partes se oponga a ello, el árbitro único o el presidente del tribunal arbitral podrá tener la nacionalidad de una de las partes. Para el caso de Arbitrajes nacionales, el árbitro único o Presidente del Tribunal Arbitral deberá tener la nacionalidad peruana.</w:t>
      </w:r>
    </w:p>
    <w:p w14:paraId="11ABF141" w14:textId="77777777" w:rsidR="00CD23AE" w:rsidRDefault="00CD23AE">
      <w:pPr>
        <w:pBdr>
          <w:top w:val="nil"/>
          <w:left w:val="nil"/>
          <w:bottom w:val="nil"/>
          <w:right w:val="nil"/>
          <w:between w:val="nil"/>
        </w:pBdr>
        <w:spacing w:before="28"/>
        <w:jc w:val="both"/>
        <w:rPr>
          <w:rFonts w:ascii="Arial" w:eastAsia="Arial" w:hAnsi="Arial" w:cs="Arial"/>
          <w:color w:val="000000"/>
          <w:sz w:val="25"/>
          <w:szCs w:val="25"/>
        </w:rPr>
      </w:pPr>
    </w:p>
    <w:p w14:paraId="0C531851" w14:textId="77777777" w:rsidR="00CD23AE" w:rsidRDefault="00127FFC">
      <w:pPr>
        <w:pStyle w:val="Ttulo6"/>
        <w:ind w:left="509"/>
        <w:jc w:val="both"/>
        <w:rPr>
          <w:rFonts w:ascii="Arial" w:eastAsia="Arial" w:hAnsi="Arial" w:cs="Arial"/>
          <w:sz w:val="24"/>
          <w:szCs w:val="24"/>
        </w:rPr>
      </w:pPr>
      <w:r>
        <w:rPr>
          <w:rFonts w:ascii="Arial" w:eastAsia="Arial" w:hAnsi="Arial" w:cs="Arial"/>
          <w:color w:val="916F41"/>
          <w:sz w:val="24"/>
          <w:szCs w:val="24"/>
        </w:rPr>
        <w:t xml:space="preserve">ARTÍCULO 21°. - </w:t>
      </w:r>
      <w:r>
        <w:rPr>
          <w:rFonts w:ascii="Arial" w:eastAsia="Arial" w:hAnsi="Arial" w:cs="Arial"/>
          <w:sz w:val="24"/>
          <w:szCs w:val="24"/>
        </w:rPr>
        <w:t>IMPARCIALIDAD E INDEPENDENCIA</w:t>
      </w:r>
    </w:p>
    <w:p w14:paraId="6AD89CC3" w14:textId="77777777" w:rsidR="00CD23AE" w:rsidRDefault="00127FFC">
      <w:pPr>
        <w:numPr>
          <w:ilvl w:val="0"/>
          <w:numId w:val="38"/>
        </w:numPr>
        <w:pBdr>
          <w:top w:val="nil"/>
          <w:left w:val="nil"/>
          <w:bottom w:val="nil"/>
          <w:right w:val="nil"/>
          <w:between w:val="nil"/>
        </w:pBdr>
        <w:tabs>
          <w:tab w:val="left" w:pos="805"/>
        </w:tabs>
        <w:spacing w:before="235" w:line="273" w:lineRule="auto"/>
        <w:ind w:right="170" w:firstLine="0"/>
        <w:jc w:val="both"/>
        <w:rPr>
          <w:rFonts w:ascii="Arial" w:eastAsia="Arial" w:hAnsi="Arial" w:cs="Arial"/>
          <w:color w:val="000000"/>
          <w:sz w:val="24"/>
          <w:szCs w:val="24"/>
        </w:rPr>
      </w:pPr>
      <w:r>
        <w:rPr>
          <w:rFonts w:ascii="Arial" w:eastAsia="Arial" w:hAnsi="Arial" w:cs="Arial"/>
          <w:color w:val="000000"/>
          <w:sz w:val="24"/>
          <w:szCs w:val="24"/>
        </w:rPr>
        <w:t>Los árbitros no representan los intereses de las partes y deben ser y permanecer durante todo el arbitraje independientes e imparciales, observando el deber de confidencialidad que rige las actuaciones arbitrales.</w:t>
      </w:r>
    </w:p>
    <w:p w14:paraId="1302CDAB" w14:textId="77777777" w:rsidR="00CD23AE" w:rsidRDefault="00127FFC">
      <w:pPr>
        <w:numPr>
          <w:ilvl w:val="0"/>
          <w:numId w:val="38"/>
        </w:numPr>
        <w:pBdr>
          <w:top w:val="nil"/>
          <w:left w:val="nil"/>
          <w:bottom w:val="nil"/>
          <w:right w:val="nil"/>
          <w:between w:val="nil"/>
        </w:pBdr>
        <w:tabs>
          <w:tab w:val="left" w:pos="842"/>
        </w:tabs>
        <w:spacing w:before="204" w:line="273" w:lineRule="auto"/>
        <w:ind w:right="170" w:firstLine="0"/>
        <w:jc w:val="both"/>
        <w:rPr>
          <w:rFonts w:ascii="Arial" w:eastAsia="Arial" w:hAnsi="Arial" w:cs="Arial"/>
          <w:color w:val="000000"/>
          <w:sz w:val="24"/>
          <w:szCs w:val="24"/>
        </w:rPr>
      </w:pPr>
      <w:r>
        <w:rPr>
          <w:rFonts w:ascii="Arial" w:eastAsia="Arial" w:hAnsi="Arial" w:cs="Arial"/>
          <w:color w:val="000000"/>
          <w:sz w:val="24"/>
          <w:szCs w:val="24"/>
        </w:rPr>
        <w:t>En el desempeño de sus funciones, los árbitros no están sometidos a orden, disposición o autoridad, que menoscabe sus funciones.</w:t>
      </w:r>
    </w:p>
    <w:p w14:paraId="6D98D117" w14:textId="77777777" w:rsidR="00CD23AE" w:rsidRDefault="00127FFC">
      <w:pPr>
        <w:pStyle w:val="Ttulo6"/>
        <w:ind w:left="496"/>
        <w:jc w:val="both"/>
        <w:rPr>
          <w:rFonts w:ascii="Arial" w:eastAsia="Arial" w:hAnsi="Arial" w:cs="Arial"/>
          <w:sz w:val="24"/>
          <w:szCs w:val="24"/>
        </w:rPr>
      </w:pPr>
      <w:r>
        <w:rPr>
          <w:rFonts w:ascii="Arial" w:eastAsia="Arial" w:hAnsi="Arial" w:cs="Arial"/>
          <w:color w:val="916F41"/>
          <w:sz w:val="24"/>
          <w:szCs w:val="24"/>
        </w:rPr>
        <w:lastRenderedPageBreak/>
        <w:t>ARTÍCULO 22°. -</w:t>
      </w:r>
      <w:r>
        <w:rPr>
          <w:rFonts w:ascii="Arial" w:eastAsia="Arial" w:hAnsi="Arial" w:cs="Arial"/>
          <w:sz w:val="24"/>
          <w:szCs w:val="24"/>
        </w:rPr>
        <w:t xml:space="preserve"> DEBER DE REVELACIÓN</w:t>
      </w:r>
    </w:p>
    <w:p w14:paraId="1A9A537F" w14:textId="77777777" w:rsidR="00CD23AE" w:rsidRDefault="00127FFC">
      <w:pPr>
        <w:numPr>
          <w:ilvl w:val="0"/>
          <w:numId w:val="37"/>
        </w:numPr>
        <w:pBdr>
          <w:top w:val="nil"/>
          <w:left w:val="nil"/>
          <w:bottom w:val="nil"/>
          <w:right w:val="nil"/>
          <w:between w:val="nil"/>
        </w:pBdr>
        <w:tabs>
          <w:tab w:val="left" w:pos="863"/>
        </w:tabs>
        <w:spacing w:before="235" w:line="273" w:lineRule="auto"/>
        <w:ind w:right="170" w:firstLine="0"/>
        <w:jc w:val="both"/>
        <w:rPr>
          <w:rFonts w:ascii="Arial" w:eastAsia="Arial" w:hAnsi="Arial" w:cs="Arial"/>
          <w:color w:val="000000"/>
        </w:rPr>
      </w:pPr>
      <w:r>
        <w:rPr>
          <w:rFonts w:ascii="Arial" w:eastAsia="Arial" w:hAnsi="Arial" w:cs="Arial"/>
          <w:color w:val="000000"/>
        </w:rPr>
        <w:t>Toda persona notificada con su designación como árbitro deberá declarar, al momento de aceptar su nombramiento, mediante comunicación dirigida al Centro, y, a través de él, a las partes y a los otros árbitros, de ser el caso, todos los hechos o circunstancias que puedan generar dudas justificadas y/o razonables sobre su imparcialidad e independencia, dentro de los cinco (5) años anteriores a su nombramiento, así como su disponibilidad para participar con diligencia en el arbitraje. Asimismo, señalará el cumplimiento de los requisitos establecidos por las partes, el presente Reglamento, la Ley de Arbitraje, la Ley de Contrataciones del Estado, su Reglamento, de ser el caso, y cualquier otra normativa especial aplicable.</w:t>
      </w:r>
    </w:p>
    <w:p w14:paraId="2D81F798" w14:textId="77777777" w:rsidR="00CD23AE" w:rsidRDefault="00CD23AE">
      <w:pPr>
        <w:pBdr>
          <w:top w:val="nil"/>
          <w:left w:val="nil"/>
          <w:bottom w:val="nil"/>
          <w:right w:val="nil"/>
          <w:between w:val="nil"/>
        </w:pBdr>
        <w:spacing w:before="78"/>
        <w:jc w:val="both"/>
        <w:rPr>
          <w:rFonts w:ascii="Arial" w:eastAsia="Arial" w:hAnsi="Arial" w:cs="Arial"/>
          <w:color w:val="000000"/>
        </w:rPr>
      </w:pPr>
    </w:p>
    <w:p w14:paraId="6E044E7E" w14:textId="77777777" w:rsidR="00CD23AE" w:rsidRDefault="00127FFC">
      <w:pPr>
        <w:numPr>
          <w:ilvl w:val="0"/>
          <w:numId w:val="37"/>
        </w:numPr>
        <w:pBdr>
          <w:top w:val="nil"/>
          <w:left w:val="nil"/>
          <w:bottom w:val="nil"/>
          <w:right w:val="nil"/>
          <w:between w:val="nil"/>
        </w:pBdr>
        <w:tabs>
          <w:tab w:val="left" w:pos="833"/>
        </w:tabs>
        <w:spacing w:before="1" w:line="273" w:lineRule="auto"/>
        <w:ind w:left="506" w:right="173" w:firstLine="0"/>
        <w:jc w:val="both"/>
        <w:rPr>
          <w:rFonts w:ascii="Arial" w:eastAsia="Arial" w:hAnsi="Arial" w:cs="Arial"/>
          <w:color w:val="000000"/>
        </w:rPr>
      </w:pPr>
      <w:bookmarkStart w:id="6" w:name="_heading=h.hwuj0egh607e" w:colFirst="0" w:colLast="0"/>
      <w:bookmarkEnd w:id="6"/>
      <w:r>
        <w:rPr>
          <w:rFonts w:ascii="Arial" w:eastAsia="Arial" w:hAnsi="Arial" w:cs="Arial"/>
          <w:color w:val="000000"/>
        </w:rPr>
        <w:t>Este deber de declaración se mantiene durante todo el desarrollo del arbitraje, de acuerdo con lo dispuesto en el Código de Ética, y su sola inobservancia constituirá un hecho que da lugar a dudas sobre la imparcialidad e independencia del árbitro.</w:t>
      </w:r>
    </w:p>
    <w:p w14:paraId="36443488" w14:textId="77777777" w:rsidR="00CD23AE" w:rsidRDefault="00127FFC">
      <w:pPr>
        <w:numPr>
          <w:ilvl w:val="0"/>
          <w:numId w:val="37"/>
        </w:numPr>
        <w:pBdr>
          <w:top w:val="nil"/>
          <w:left w:val="nil"/>
          <w:bottom w:val="nil"/>
          <w:right w:val="nil"/>
          <w:between w:val="nil"/>
        </w:pBdr>
        <w:tabs>
          <w:tab w:val="left" w:pos="870"/>
        </w:tabs>
        <w:spacing w:before="169" w:line="273" w:lineRule="auto"/>
        <w:ind w:left="506" w:right="173" w:firstLine="0"/>
        <w:jc w:val="both"/>
        <w:rPr>
          <w:rFonts w:ascii="Arial" w:eastAsia="Arial" w:hAnsi="Arial" w:cs="Arial"/>
          <w:color w:val="000000"/>
        </w:rPr>
      </w:pPr>
      <w:r>
        <w:rPr>
          <w:rFonts w:ascii="Arial" w:eastAsia="Arial" w:hAnsi="Arial" w:cs="Arial"/>
          <w:color w:val="000000"/>
        </w:rPr>
        <w:t>En cualquier momento del arbitraje, las partes y el Centro pueden requerir a un árbitro que aclare su relación con alguna parte, abogados y co-árbitros. La Secretaria General está facultada para no tramitar el requerimiento cuando haya indicios que el pedido busca ocasionar una dilación innecesaria en las actuaciones arbitrales.</w:t>
      </w:r>
    </w:p>
    <w:p w14:paraId="71A00983" w14:textId="77777777" w:rsidR="00CD23AE" w:rsidRDefault="00CD23AE">
      <w:pPr>
        <w:pBdr>
          <w:top w:val="nil"/>
          <w:left w:val="nil"/>
          <w:bottom w:val="nil"/>
          <w:right w:val="nil"/>
          <w:between w:val="nil"/>
        </w:pBdr>
        <w:spacing w:before="23"/>
        <w:jc w:val="both"/>
        <w:rPr>
          <w:rFonts w:ascii="Arial" w:eastAsia="Arial" w:hAnsi="Arial" w:cs="Arial"/>
          <w:color w:val="000000"/>
          <w:sz w:val="25"/>
          <w:szCs w:val="25"/>
        </w:rPr>
      </w:pPr>
    </w:p>
    <w:p w14:paraId="2399EB11" w14:textId="77777777" w:rsidR="00CD23AE" w:rsidRDefault="00127FFC" w:rsidP="00756EE5">
      <w:pPr>
        <w:pStyle w:val="Ttulo3"/>
        <w:jc w:val="both"/>
        <w:rPr>
          <w:rFonts w:ascii="Arial" w:eastAsia="Arial" w:hAnsi="Arial" w:cs="Arial"/>
          <w:b/>
          <w:color w:val="E80303"/>
          <w:sz w:val="26"/>
          <w:szCs w:val="26"/>
        </w:rPr>
      </w:pPr>
      <w:r>
        <w:rPr>
          <w:rFonts w:ascii="Arial" w:eastAsia="Arial" w:hAnsi="Arial" w:cs="Arial"/>
          <w:b/>
          <w:color w:val="E80303"/>
          <w:sz w:val="26"/>
          <w:szCs w:val="26"/>
        </w:rPr>
        <w:t>SUBCAPÍTULO II: DE LA COMPOSICIÓN DEL TRIBUNAL ARBITRAL</w:t>
      </w:r>
    </w:p>
    <w:p w14:paraId="62DBA40B" w14:textId="77777777" w:rsidR="00CD23AE" w:rsidRDefault="00127FFC" w:rsidP="00756EE5">
      <w:pPr>
        <w:pStyle w:val="Ttulo6"/>
        <w:spacing w:before="221"/>
        <w:jc w:val="both"/>
        <w:rPr>
          <w:rFonts w:ascii="Arial" w:eastAsia="Arial" w:hAnsi="Arial" w:cs="Arial"/>
          <w:sz w:val="24"/>
          <w:szCs w:val="24"/>
        </w:rPr>
      </w:pPr>
      <w:r>
        <w:rPr>
          <w:rFonts w:ascii="Arial" w:eastAsia="Arial" w:hAnsi="Arial" w:cs="Arial"/>
          <w:color w:val="916F41"/>
          <w:sz w:val="24"/>
          <w:szCs w:val="24"/>
        </w:rPr>
        <w:t>ARTÍCULO 23°. -</w:t>
      </w:r>
      <w:r>
        <w:rPr>
          <w:rFonts w:ascii="Arial" w:eastAsia="Arial" w:hAnsi="Arial" w:cs="Arial"/>
          <w:color w:val="E80303"/>
          <w:sz w:val="24"/>
          <w:szCs w:val="24"/>
        </w:rPr>
        <w:t xml:space="preserve"> </w:t>
      </w:r>
      <w:r>
        <w:rPr>
          <w:rFonts w:ascii="Arial" w:eastAsia="Arial" w:hAnsi="Arial" w:cs="Arial"/>
          <w:sz w:val="24"/>
          <w:szCs w:val="24"/>
        </w:rPr>
        <w:t>ÁRBITROS DESIGNADOS</w:t>
      </w:r>
    </w:p>
    <w:p w14:paraId="1F313508" w14:textId="77777777" w:rsidR="00CD23AE" w:rsidRDefault="00127FFC">
      <w:pPr>
        <w:numPr>
          <w:ilvl w:val="0"/>
          <w:numId w:val="36"/>
        </w:numPr>
        <w:pBdr>
          <w:top w:val="nil"/>
          <w:left w:val="nil"/>
          <w:bottom w:val="nil"/>
          <w:right w:val="nil"/>
          <w:between w:val="nil"/>
        </w:pBdr>
        <w:tabs>
          <w:tab w:val="left" w:pos="811"/>
        </w:tabs>
        <w:spacing w:before="205" w:line="273" w:lineRule="auto"/>
        <w:ind w:right="173" w:firstLine="0"/>
        <w:jc w:val="both"/>
        <w:rPr>
          <w:rFonts w:ascii="Arial" w:eastAsia="Arial" w:hAnsi="Arial" w:cs="Arial"/>
          <w:color w:val="000000"/>
        </w:rPr>
      </w:pPr>
      <w:r>
        <w:rPr>
          <w:rFonts w:ascii="Arial" w:eastAsia="Arial" w:hAnsi="Arial" w:cs="Arial"/>
          <w:color w:val="000000"/>
        </w:rPr>
        <w:t>Los árbitros designados por las partes pueden pertenecer o no a la Nómina de Árbitros del Centro, salvo el Presidente del Tribunal Arbitral y el Árbitro Único.</w:t>
      </w:r>
    </w:p>
    <w:p w14:paraId="3DCC3120" w14:textId="77777777" w:rsidR="00CD23AE" w:rsidRDefault="00127FFC">
      <w:pPr>
        <w:numPr>
          <w:ilvl w:val="0"/>
          <w:numId w:val="36"/>
        </w:numPr>
        <w:pBdr>
          <w:top w:val="nil"/>
          <w:left w:val="nil"/>
          <w:bottom w:val="nil"/>
          <w:right w:val="nil"/>
          <w:between w:val="nil"/>
        </w:pBdr>
        <w:tabs>
          <w:tab w:val="left" w:pos="865"/>
        </w:tabs>
        <w:spacing w:before="176" w:line="273" w:lineRule="auto"/>
        <w:ind w:right="173" w:firstLine="0"/>
        <w:jc w:val="both"/>
        <w:rPr>
          <w:rFonts w:ascii="Arial" w:eastAsia="Arial" w:hAnsi="Arial" w:cs="Arial"/>
          <w:color w:val="000000"/>
        </w:rPr>
      </w:pPr>
      <w:r>
        <w:rPr>
          <w:rFonts w:ascii="Arial" w:eastAsia="Arial" w:hAnsi="Arial" w:cs="Arial"/>
          <w:color w:val="000000"/>
        </w:rPr>
        <w:t>Cuando las partes o los árbitros no hayan designado al árbitro que corresponde, el Consejo Superior de Arbitraje procede a designarlo de la Nómina de Árbitros del Centro.</w:t>
      </w:r>
    </w:p>
    <w:p w14:paraId="5D855B76" w14:textId="77777777" w:rsidR="00CD23AE" w:rsidRDefault="00127FFC">
      <w:pPr>
        <w:numPr>
          <w:ilvl w:val="0"/>
          <w:numId w:val="36"/>
        </w:numPr>
        <w:pBdr>
          <w:top w:val="nil"/>
          <w:left w:val="nil"/>
          <w:bottom w:val="nil"/>
          <w:right w:val="nil"/>
          <w:between w:val="nil"/>
        </w:pBdr>
        <w:tabs>
          <w:tab w:val="left" w:pos="854"/>
        </w:tabs>
        <w:spacing w:before="176" w:line="273" w:lineRule="auto"/>
        <w:ind w:right="173" w:firstLine="0"/>
        <w:jc w:val="both"/>
        <w:rPr>
          <w:rFonts w:ascii="Arial" w:eastAsia="Arial" w:hAnsi="Arial" w:cs="Arial"/>
          <w:color w:val="000000"/>
        </w:rPr>
      </w:pPr>
      <w:r>
        <w:rPr>
          <w:rFonts w:ascii="Arial" w:eastAsia="Arial" w:hAnsi="Arial" w:cs="Arial"/>
          <w:color w:val="000000"/>
        </w:rPr>
        <w:t>Si cualquiera de los árbitros elegidos hubiera sido sancionado por el Consejo Superior de Arbitraje en forma parcial o definitiva para i) ser designado como árbitro, o ii) formar parte de la Nómina de Árbitros del Centro, la Secretaría General comunica tal situación a quién lo designó, a fin de que en el plazo de tres (3) días hábiles de notificada se designe un nuevo árbitro. Vencido dicho plazo, sin que se hubiese producido la designación, el Consejo Superior de Arbitraje la efectuará en defecto.</w:t>
      </w:r>
    </w:p>
    <w:p w14:paraId="6012989B" w14:textId="77777777" w:rsidR="00CD23AE" w:rsidRDefault="00CD23AE">
      <w:pPr>
        <w:pBdr>
          <w:top w:val="nil"/>
          <w:left w:val="nil"/>
          <w:bottom w:val="nil"/>
          <w:right w:val="nil"/>
          <w:between w:val="nil"/>
        </w:pBdr>
        <w:spacing w:before="12"/>
        <w:jc w:val="both"/>
        <w:rPr>
          <w:rFonts w:ascii="Arial" w:eastAsia="Arial" w:hAnsi="Arial" w:cs="Arial"/>
          <w:color w:val="000000"/>
          <w:sz w:val="25"/>
          <w:szCs w:val="25"/>
        </w:rPr>
      </w:pPr>
    </w:p>
    <w:p w14:paraId="44754AE0" w14:textId="77777777" w:rsidR="00CD23AE" w:rsidRDefault="00127FFC" w:rsidP="00756EE5">
      <w:pPr>
        <w:pStyle w:val="Ttulo6"/>
        <w:spacing w:before="1"/>
        <w:jc w:val="both"/>
        <w:rPr>
          <w:rFonts w:ascii="Arial" w:eastAsia="Arial" w:hAnsi="Arial" w:cs="Arial"/>
          <w:sz w:val="24"/>
          <w:szCs w:val="24"/>
        </w:rPr>
      </w:pPr>
      <w:r>
        <w:rPr>
          <w:rFonts w:ascii="Arial" w:eastAsia="Arial" w:hAnsi="Arial" w:cs="Arial"/>
          <w:color w:val="916F41"/>
          <w:sz w:val="24"/>
          <w:szCs w:val="24"/>
        </w:rPr>
        <w:t>ARTÍCULO 24°. -</w:t>
      </w:r>
      <w:r>
        <w:rPr>
          <w:rFonts w:ascii="Arial" w:eastAsia="Arial" w:hAnsi="Arial" w:cs="Arial"/>
          <w:color w:val="062D60"/>
          <w:sz w:val="24"/>
          <w:szCs w:val="24"/>
        </w:rPr>
        <w:t xml:space="preserve"> </w:t>
      </w:r>
      <w:r>
        <w:rPr>
          <w:rFonts w:ascii="Arial" w:eastAsia="Arial" w:hAnsi="Arial" w:cs="Arial"/>
          <w:sz w:val="24"/>
          <w:szCs w:val="24"/>
        </w:rPr>
        <w:t>DESIGNACIÓN DE TRIBUNAL ARBITRAL UNIPERSONAL</w:t>
      </w:r>
    </w:p>
    <w:p w14:paraId="62C641AC" w14:textId="77777777" w:rsidR="00CD23AE" w:rsidRDefault="00127FFC">
      <w:pPr>
        <w:numPr>
          <w:ilvl w:val="0"/>
          <w:numId w:val="35"/>
        </w:numPr>
        <w:pBdr>
          <w:top w:val="nil"/>
          <w:left w:val="nil"/>
          <w:bottom w:val="nil"/>
          <w:right w:val="nil"/>
          <w:between w:val="nil"/>
        </w:pBdr>
        <w:tabs>
          <w:tab w:val="left" w:pos="724"/>
        </w:tabs>
        <w:spacing w:before="204" w:line="273" w:lineRule="auto"/>
        <w:ind w:left="482" w:right="197" w:firstLine="0"/>
        <w:jc w:val="both"/>
        <w:rPr>
          <w:rFonts w:ascii="Arial" w:eastAsia="Arial" w:hAnsi="Arial" w:cs="Arial"/>
          <w:color w:val="000000"/>
        </w:rPr>
      </w:pPr>
      <w:r>
        <w:rPr>
          <w:rFonts w:ascii="Arial" w:eastAsia="Arial" w:hAnsi="Arial" w:cs="Arial"/>
          <w:color w:val="000000"/>
        </w:rPr>
        <w:t>Salvo que las partes hayan designado al árbitro que conforma el tribunal arbitral unipersonal en el convenio arbitral o en un acuerdo posterior, la designación de éste será realizada por el Consejo Superior de Arbitraje, una vez producida la contestación a la solicitud de arbitraje o habiéndose vencido su plazo.</w:t>
      </w:r>
    </w:p>
    <w:p w14:paraId="6AD25C91" w14:textId="77777777" w:rsidR="00CD23AE" w:rsidRDefault="00127FFC">
      <w:pPr>
        <w:numPr>
          <w:ilvl w:val="0"/>
          <w:numId w:val="35"/>
        </w:numPr>
        <w:pBdr>
          <w:top w:val="nil"/>
          <w:left w:val="nil"/>
          <w:bottom w:val="nil"/>
          <w:right w:val="nil"/>
          <w:between w:val="nil"/>
        </w:pBdr>
        <w:tabs>
          <w:tab w:val="left" w:pos="819"/>
        </w:tabs>
        <w:spacing w:before="240" w:line="271" w:lineRule="auto"/>
        <w:ind w:left="482" w:right="197" w:firstLine="0"/>
        <w:jc w:val="both"/>
        <w:rPr>
          <w:rFonts w:ascii="Arial" w:eastAsia="Arial" w:hAnsi="Arial" w:cs="Arial"/>
          <w:color w:val="000000"/>
        </w:rPr>
      </w:pPr>
      <w:r>
        <w:rPr>
          <w:rFonts w:ascii="Arial" w:eastAsia="Arial" w:hAnsi="Arial" w:cs="Arial"/>
          <w:color w:val="000000"/>
        </w:rPr>
        <w:t>De existir oposición al arbitraje, esta deberá comunicarse a la parte peticionante del arbitraje para que pueda absolver conforme a su derecho, posterior a lo cual se elevarán actuados al Consejo Superior de Arbitraje para que emita pronunciamiento conforme a sus competencias y, de declararse infundada la misma, designar al Árbitro que se encargará del procedimiento arbitral. El procedimiento es similar cuando se trate de un tribunal colegiado y medie oposición al arbitraje.</w:t>
      </w:r>
    </w:p>
    <w:p w14:paraId="233614E6" w14:textId="77777777" w:rsidR="00CD23AE" w:rsidRDefault="00CD23AE">
      <w:pPr>
        <w:pBdr>
          <w:top w:val="nil"/>
          <w:left w:val="nil"/>
          <w:bottom w:val="nil"/>
          <w:right w:val="nil"/>
          <w:between w:val="nil"/>
        </w:pBdr>
        <w:tabs>
          <w:tab w:val="left" w:pos="819"/>
        </w:tabs>
        <w:spacing w:before="240" w:line="271" w:lineRule="auto"/>
        <w:ind w:left="483" w:right="197"/>
        <w:jc w:val="both"/>
        <w:rPr>
          <w:rFonts w:ascii="Arial" w:eastAsia="Arial" w:hAnsi="Arial" w:cs="Arial"/>
        </w:rPr>
      </w:pPr>
    </w:p>
    <w:p w14:paraId="6CCC7685" w14:textId="77777777" w:rsidR="00CD23AE" w:rsidRDefault="00127FFC">
      <w:pPr>
        <w:numPr>
          <w:ilvl w:val="0"/>
          <w:numId w:val="35"/>
        </w:numPr>
        <w:pBdr>
          <w:top w:val="nil"/>
          <w:left w:val="nil"/>
          <w:bottom w:val="nil"/>
          <w:right w:val="nil"/>
          <w:between w:val="nil"/>
        </w:pBdr>
        <w:tabs>
          <w:tab w:val="left" w:pos="792"/>
        </w:tabs>
        <w:spacing w:before="217" w:line="273" w:lineRule="auto"/>
        <w:ind w:left="482" w:right="197" w:firstLine="0"/>
        <w:jc w:val="both"/>
        <w:rPr>
          <w:rFonts w:ascii="Arial" w:eastAsia="Arial" w:hAnsi="Arial" w:cs="Arial"/>
          <w:color w:val="000000"/>
        </w:rPr>
      </w:pPr>
      <w:r>
        <w:rPr>
          <w:rFonts w:ascii="Arial" w:eastAsia="Arial" w:hAnsi="Arial" w:cs="Arial"/>
          <w:color w:val="000000"/>
        </w:rPr>
        <w:lastRenderedPageBreak/>
        <w:t>El árbitro designado será notificado con su nombramiento para que en el plazo de cinco (5) días hábiles de notificado manifieste su aceptación al cargo.</w:t>
      </w:r>
    </w:p>
    <w:p w14:paraId="7AEBCAA4" w14:textId="77777777" w:rsidR="00CD23AE" w:rsidRDefault="00127FFC">
      <w:pPr>
        <w:numPr>
          <w:ilvl w:val="0"/>
          <w:numId w:val="35"/>
        </w:numPr>
        <w:pBdr>
          <w:top w:val="nil"/>
          <w:left w:val="nil"/>
          <w:bottom w:val="nil"/>
          <w:right w:val="nil"/>
          <w:between w:val="nil"/>
        </w:pBdr>
        <w:tabs>
          <w:tab w:val="left" w:pos="813"/>
        </w:tabs>
        <w:spacing w:before="206" w:line="273" w:lineRule="auto"/>
        <w:ind w:left="482" w:right="196" w:firstLine="0"/>
        <w:jc w:val="both"/>
        <w:rPr>
          <w:rFonts w:ascii="Arial" w:eastAsia="Arial" w:hAnsi="Arial" w:cs="Arial"/>
          <w:color w:val="000000"/>
        </w:rPr>
      </w:pPr>
      <w:r>
        <w:rPr>
          <w:rFonts w:ascii="Arial" w:eastAsia="Arial" w:hAnsi="Arial" w:cs="Arial"/>
          <w:color w:val="000000"/>
        </w:rPr>
        <w:t>Si el árbitro designado rechaza su nombramiento o no se pronuncia en el plazo otorgado, el Consejo Superior de Arbitraje designará a otro árbitro.</w:t>
      </w:r>
    </w:p>
    <w:p w14:paraId="42C9FF5F" w14:textId="77777777" w:rsidR="00CD23AE" w:rsidRDefault="00127FFC">
      <w:pPr>
        <w:numPr>
          <w:ilvl w:val="0"/>
          <w:numId w:val="35"/>
        </w:numPr>
        <w:pBdr>
          <w:top w:val="nil"/>
          <w:left w:val="nil"/>
          <w:bottom w:val="nil"/>
          <w:right w:val="nil"/>
          <w:between w:val="nil"/>
        </w:pBdr>
        <w:tabs>
          <w:tab w:val="left" w:pos="826"/>
        </w:tabs>
        <w:spacing w:before="207" w:line="273" w:lineRule="auto"/>
        <w:ind w:left="506" w:right="173" w:firstLine="0"/>
        <w:jc w:val="both"/>
        <w:rPr>
          <w:rFonts w:ascii="Arial" w:eastAsia="Arial" w:hAnsi="Arial" w:cs="Arial"/>
          <w:color w:val="000000"/>
        </w:rPr>
      </w:pPr>
      <w:r>
        <w:rPr>
          <w:rFonts w:ascii="Arial" w:eastAsia="Arial" w:hAnsi="Arial" w:cs="Arial"/>
          <w:color w:val="000000"/>
        </w:rPr>
        <w:t>Se entiende válidamente constituido el tribunal arbitral en la fecha en que se haya producido la aceptación del árbitro.</w:t>
      </w:r>
    </w:p>
    <w:p w14:paraId="5A56BAD9" w14:textId="77777777" w:rsidR="00CD23AE" w:rsidRDefault="00CD23AE">
      <w:pPr>
        <w:pBdr>
          <w:top w:val="nil"/>
          <w:left w:val="nil"/>
          <w:bottom w:val="nil"/>
          <w:right w:val="nil"/>
          <w:between w:val="nil"/>
        </w:pBdr>
        <w:spacing w:before="102"/>
        <w:jc w:val="both"/>
        <w:rPr>
          <w:rFonts w:ascii="Arial" w:eastAsia="Arial" w:hAnsi="Arial" w:cs="Arial"/>
          <w:color w:val="000000"/>
          <w:sz w:val="25"/>
          <w:szCs w:val="25"/>
        </w:rPr>
      </w:pPr>
    </w:p>
    <w:p w14:paraId="4C4B00C8" w14:textId="77777777" w:rsidR="00CD23AE" w:rsidRDefault="00127FFC" w:rsidP="00756EE5">
      <w:pPr>
        <w:pStyle w:val="Ttulo6"/>
        <w:jc w:val="both"/>
        <w:rPr>
          <w:rFonts w:ascii="Arial" w:eastAsia="Arial" w:hAnsi="Arial" w:cs="Arial"/>
          <w:sz w:val="24"/>
          <w:szCs w:val="24"/>
        </w:rPr>
      </w:pPr>
      <w:r>
        <w:rPr>
          <w:rFonts w:ascii="Arial" w:eastAsia="Arial" w:hAnsi="Arial" w:cs="Arial"/>
          <w:color w:val="916F41"/>
          <w:sz w:val="24"/>
          <w:szCs w:val="24"/>
        </w:rPr>
        <w:t>ARTÍCULO 25°. -</w:t>
      </w:r>
      <w:r>
        <w:rPr>
          <w:rFonts w:ascii="Arial" w:eastAsia="Arial" w:hAnsi="Arial" w:cs="Arial"/>
          <w:color w:val="062D60"/>
          <w:sz w:val="24"/>
          <w:szCs w:val="24"/>
        </w:rPr>
        <w:t xml:space="preserve"> </w:t>
      </w:r>
      <w:r>
        <w:rPr>
          <w:rFonts w:ascii="Arial" w:eastAsia="Arial" w:hAnsi="Arial" w:cs="Arial"/>
          <w:sz w:val="24"/>
          <w:szCs w:val="24"/>
        </w:rPr>
        <w:t>DESIGNACIÓN DEL TRIBUNAL ARBITRAL COLEGIADO</w:t>
      </w:r>
    </w:p>
    <w:p w14:paraId="7469CC59" w14:textId="77777777" w:rsidR="00CD23AE" w:rsidRDefault="00127FFC">
      <w:pPr>
        <w:pBdr>
          <w:top w:val="nil"/>
          <w:left w:val="nil"/>
          <w:bottom w:val="nil"/>
          <w:right w:val="nil"/>
          <w:between w:val="nil"/>
        </w:pBdr>
        <w:spacing w:before="220" w:line="273" w:lineRule="auto"/>
        <w:ind w:left="482" w:right="197"/>
        <w:jc w:val="both"/>
        <w:rPr>
          <w:rFonts w:ascii="Arial" w:eastAsia="Arial" w:hAnsi="Arial" w:cs="Arial"/>
          <w:color w:val="000000"/>
        </w:rPr>
      </w:pPr>
      <w:r>
        <w:rPr>
          <w:rFonts w:ascii="Arial" w:eastAsia="Arial" w:hAnsi="Arial" w:cs="Arial"/>
          <w:color w:val="000000"/>
        </w:rPr>
        <w:t>La designación del Tribunal Arbitral Colegiado se regirá por las siguientes reglas:</w:t>
      </w:r>
    </w:p>
    <w:p w14:paraId="19D16E6A" w14:textId="77777777" w:rsidR="00CD23AE" w:rsidRDefault="00127FFC">
      <w:pPr>
        <w:numPr>
          <w:ilvl w:val="0"/>
          <w:numId w:val="33"/>
        </w:numPr>
        <w:pBdr>
          <w:top w:val="nil"/>
          <w:left w:val="nil"/>
          <w:bottom w:val="nil"/>
          <w:right w:val="nil"/>
          <w:between w:val="nil"/>
        </w:pBdr>
        <w:tabs>
          <w:tab w:val="left" w:pos="722"/>
        </w:tabs>
        <w:spacing w:before="237" w:line="273" w:lineRule="auto"/>
        <w:ind w:left="482" w:right="197" w:firstLine="0"/>
        <w:jc w:val="both"/>
        <w:rPr>
          <w:rFonts w:ascii="Arial" w:eastAsia="Arial" w:hAnsi="Arial" w:cs="Arial"/>
          <w:color w:val="000000"/>
        </w:rPr>
      </w:pPr>
      <w:r>
        <w:rPr>
          <w:rFonts w:ascii="Arial" w:eastAsia="Arial" w:hAnsi="Arial" w:cs="Arial"/>
          <w:color w:val="000000"/>
        </w:rPr>
        <w:t>Cada parte debe nombrar respectivamente a un árbitro en la solicitud de arbitraje y en su contestación, y estos a su vez nombran al tercer árbitro, quien se desempeña como presidente, en el plazo de cinco (5) días hábiles de notificados con el pedido efectuado por la Secretaría General.</w:t>
      </w:r>
    </w:p>
    <w:p w14:paraId="1285AA8F" w14:textId="77777777" w:rsidR="00CD23AE" w:rsidRDefault="00127FFC">
      <w:pPr>
        <w:numPr>
          <w:ilvl w:val="0"/>
          <w:numId w:val="33"/>
        </w:numPr>
        <w:pBdr>
          <w:top w:val="nil"/>
          <w:left w:val="nil"/>
          <w:bottom w:val="nil"/>
          <w:right w:val="nil"/>
          <w:between w:val="nil"/>
        </w:pBdr>
        <w:tabs>
          <w:tab w:val="left" w:pos="782"/>
        </w:tabs>
        <w:spacing w:before="190" w:line="273" w:lineRule="auto"/>
        <w:ind w:left="482" w:right="197" w:firstLine="0"/>
        <w:jc w:val="both"/>
        <w:rPr>
          <w:rFonts w:ascii="Arial" w:eastAsia="Arial" w:hAnsi="Arial" w:cs="Arial"/>
          <w:color w:val="000000"/>
        </w:rPr>
      </w:pPr>
      <w:r>
        <w:rPr>
          <w:rFonts w:ascii="Arial" w:eastAsia="Arial" w:hAnsi="Arial" w:cs="Arial"/>
          <w:color w:val="000000"/>
        </w:rPr>
        <w:t>Los árbitros sujetos a recusación o a pedido de apartamiento no podrán designar al tercer árbitro hasta que se resuelvan los referidos incidentes.</w:t>
      </w:r>
    </w:p>
    <w:p w14:paraId="2CECDF75" w14:textId="77777777" w:rsidR="00CD23AE" w:rsidRDefault="00127FFC">
      <w:pPr>
        <w:numPr>
          <w:ilvl w:val="0"/>
          <w:numId w:val="33"/>
        </w:numPr>
        <w:pBdr>
          <w:top w:val="nil"/>
          <w:left w:val="nil"/>
          <w:bottom w:val="nil"/>
          <w:right w:val="nil"/>
          <w:between w:val="nil"/>
        </w:pBdr>
        <w:tabs>
          <w:tab w:val="left" w:pos="849"/>
        </w:tabs>
        <w:spacing w:before="207" w:line="273" w:lineRule="auto"/>
        <w:ind w:left="482" w:right="197" w:firstLine="0"/>
        <w:jc w:val="both"/>
        <w:rPr>
          <w:rFonts w:ascii="Arial" w:eastAsia="Arial" w:hAnsi="Arial" w:cs="Arial"/>
          <w:color w:val="000000"/>
        </w:rPr>
      </w:pPr>
      <w:r>
        <w:rPr>
          <w:rFonts w:ascii="Arial" w:eastAsia="Arial" w:hAnsi="Arial" w:cs="Arial"/>
          <w:color w:val="000000"/>
        </w:rPr>
        <w:t>Los árbitros designados deberán manifestar su aceptación al cargo dentro del plazo de cinco (5) días hábiles de notificados por la Secretaría General. Si el o los árbitros así designados rechazaran su nombramiento o no manifestaran su parecer en dicho plazo, la Secretaría General otorgará a las partes o a los árbitros designados, según corresponda, un plazo de tres</w:t>
      </w:r>
    </w:p>
    <w:p w14:paraId="16454520" w14:textId="77777777" w:rsidR="00CD23AE" w:rsidRDefault="00127FFC">
      <w:pPr>
        <w:pBdr>
          <w:top w:val="nil"/>
          <w:left w:val="nil"/>
          <w:bottom w:val="nil"/>
          <w:right w:val="nil"/>
          <w:between w:val="nil"/>
        </w:pBdr>
        <w:spacing w:line="273" w:lineRule="auto"/>
        <w:ind w:left="482" w:right="197"/>
        <w:jc w:val="both"/>
        <w:rPr>
          <w:rFonts w:ascii="Arial" w:eastAsia="Arial" w:hAnsi="Arial" w:cs="Arial"/>
          <w:color w:val="000000"/>
        </w:rPr>
      </w:pPr>
      <w:r>
        <w:rPr>
          <w:rFonts w:ascii="Arial" w:eastAsia="Arial" w:hAnsi="Arial" w:cs="Arial"/>
          <w:color w:val="000000"/>
        </w:rPr>
        <w:t>(3) días para proceder a realizar una nueva designación. Si en este último caso, alguno o todos los árbitros designados rechazaran su designación o no manifestaran su parecer dentro de los cinco (5) días hábiles de notificados, la Secretaría General remitirá al Consejo Superior de Arbitraje los actuados pertinentes para que proceda a efectuar la designación en defecto, según corresponda.</w:t>
      </w:r>
    </w:p>
    <w:p w14:paraId="7A79AA3F" w14:textId="77777777" w:rsidR="00CD23AE" w:rsidRDefault="00127FFC">
      <w:pPr>
        <w:numPr>
          <w:ilvl w:val="0"/>
          <w:numId w:val="33"/>
        </w:numPr>
        <w:pBdr>
          <w:top w:val="nil"/>
          <w:left w:val="nil"/>
          <w:bottom w:val="nil"/>
          <w:right w:val="nil"/>
          <w:between w:val="nil"/>
        </w:pBdr>
        <w:tabs>
          <w:tab w:val="left" w:pos="839"/>
        </w:tabs>
        <w:spacing w:before="196" w:line="273" w:lineRule="auto"/>
        <w:ind w:left="482" w:right="196" w:firstLine="0"/>
        <w:jc w:val="both"/>
        <w:rPr>
          <w:rFonts w:ascii="Arial" w:eastAsia="Arial" w:hAnsi="Arial" w:cs="Arial"/>
          <w:color w:val="000000"/>
        </w:rPr>
      </w:pPr>
      <w:r>
        <w:rPr>
          <w:rFonts w:ascii="Arial" w:eastAsia="Arial" w:hAnsi="Arial" w:cs="Arial"/>
          <w:color w:val="000000"/>
        </w:rPr>
        <w:t>Una vez producida la aceptación de los árbitros, la Secretaría General pondrá en conocimiento de las partes dichas aceptaciones. En ningún caso, las partes podrán formular recusación contra los árbitros designados antes de ser notificadas con sus respectivas aceptaciones.</w:t>
      </w:r>
    </w:p>
    <w:p w14:paraId="288539FC" w14:textId="77777777" w:rsidR="00CD23AE" w:rsidRDefault="00127FFC">
      <w:pPr>
        <w:numPr>
          <w:ilvl w:val="0"/>
          <w:numId w:val="33"/>
        </w:numPr>
        <w:pBdr>
          <w:top w:val="nil"/>
          <w:left w:val="nil"/>
          <w:bottom w:val="nil"/>
          <w:right w:val="nil"/>
          <w:between w:val="nil"/>
        </w:pBdr>
        <w:tabs>
          <w:tab w:val="left" w:pos="798"/>
        </w:tabs>
        <w:spacing w:before="277" w:line="273" w:lineRule="auto"/>
        <w:ind w:left="506" w:right="173" w:firstLine="0"/>
        <w:jc w:val="both"/>
        <w:rPr>
          <w:rFonts w:ascii="Arial" w:eastAsia="Arial" w:hAnsi="Arial" w:cs="Arial"/>
          <w:color w:val="000000"/>
        </w:rPr>
      </w:pPr>
      <w:r>
        <w:rPr>
          <w:rFonts w:ascii="Arial" w:eastAsia="Arial" w:hAnsi="Arial" w:cs="Arial"/>
          <w:color w:val="000000"/>
        </w:rPr>
        <w:t>Se entenderá válidamente constituido el tribunal arbitral en la fecha que se haya producido la aceptación del tercer árbitro.</w:t>
      </w:r>
    </w:p>
    <w:p w14:paraId="1A0E3F35" w14:textId="77777777" w:rsidR="00CD23AE" w:rsidRDefault="00CD23AE">
      <w:pPr>
        <w:pBdr>
          <w:top w:val="nil"/>
          <w:left w:val="nil"/>
          <w:bottom w:val="nil"/>
          <w:right w:val="nil"/>
          <w:between w:val="nil"/>
        </w:pBdr>
        <w:spacing w:before="70"/>
        <w:jc w:val="both"/>
        <w:rPr>
          <w:rFonts w:ascii="Arial" w:eastAsia="Arial" w:hAnsi="Arial" w:cs="Arial"/>
          <w:color w:val="000000"/>
          <w:sz w:val="25"/>
          <w:szCs w:val="25"/>
        </w:rPr>
      </w:pPr>
    </w:p>
    <w:p w14:paraId="2F9B92BF" w14:textId="77777777" w:rsidR="00CD23AE" w:rsidRDefault="00127FFC" w:rsidP="00756EE5">
      <w:pPr>
        <w:pStyle w:val="Ttulo6"/>
        <w:spacing w:before="1" w:line="268" w:lineRule="auto"/>
        <w:jc w:val="both"/>
        <w:rPr>
          <w:rFonts w:ascii="Arial" w:eastAsia="Arial" w:hAnsi="Arial" w:cs="Arial"/>
          <w:sz w:val="24"/>
          <w:szCs w:val="24"/>
        </w:rPr>
      </w:pPr>
      <w:r>
        <w:rPr>
          <w:rFonts w:ascii="Arial" w:eastAsia="Arial" w:hAnsi="Arial" w:cs="Arial"/>
          <w:color w:val="916F41"/>
          <w:sz w:val="24"/>
          <w:szCs w:val="24"/>
        </w:rPr>
        <w:t xml:space="preserve">ARTÍCULO 26°. - </w:t>
      </w:r>
      <w:r>
        <w:rPr>
          <w:rFonts w:ascii="Arial" w:eastAsia="Arial" w:hAnsi="Arial" w:cs="Arial"/>
          <w:sz w:val="24"/>
          <w:szCs w:val="24"/>
        </w:rPr>
        <w:t>MECANISMO DE DESIGNACIÓN ESTABLECIDO POR LAS PARTES</w:t>
      </w:r>
    </w:p>
    <w:p w14:paraId="7E596F97" w14:textId="77777777" w:rsidR="00CD23AE" w:rsidRDefault="00127FFC">
      <w:pPr>
        <w:pBdr>
          <w:top w:val="nil"/>
          <w:left w:val="nil"/>
          <w:bottom w:val="nil"/>
          <w:right w:val="nil"/>
          <w:between w:val="nil"/>
        </w:pBdr>
        <w:spacing w:before="183" w:line="273" w:lineRule="auto"/>
        <w:ind w:left="506" w:right="173"/>
        <w:jc w:val="both"/>
        <w:rPr>
          <w:rFonts w:ascii="Arial" w:eastAsia="Arial" w:hAnsi="Arial" w:cs="Arial"/>
          <w:color w:val="000000"/>
        </w:rPr>
      </w:pPr>
      <w:r>
        <w:rPr>
          <w:rFonts w:ascii="Arial" w:eastAsia="Arial" w:hAnsi="Arial" w:cs="Arial"/>
          <w:color w:val="000000"/>
        </w:rPr>
        <w:t>Sin perjuicio de los procedimientos de designación de árbitros previstos en los artículos 24º y 25º del presente Reglamento, las partes pueden establecer distintos mecanismos para la designación de árbitros. El Centro constatará el cumplimiento de tales mecanismos, verificando que ello no contravenga la Ley de Arbitraje ni genere incompatibilidades con las funciones de los órganos del Centro asignadas en el presente Reglamento.</w:t>
      </w:r>
    </w:p>
    <w:p w14:paraId="76D85C5F" w14:textId="77777777" w:rsidR="00CD23AE" w:rsidRDefault="00CD23AE">
      <w:pPr>
        <w:pBdr>
          <w:top w:val="nil"/>
          <w:left w:val="nil"/>
          <w:bottom w:val="nil"/>
          <w:right w:val="nil"/>
          <w:between w:val="nil"/>
        </w:pBdr>
        <w:spacing w:before="59"/>
        <w:jc w:val="both"/>
        <w:rPr>
          <w:rFonts w:ascii="Arial" w:eastAsia="Arial" w:hAnsi="Arial" w:cs="Arial"/>
          <w:sz w:val="24"/>
          <w:szCs w:val="24"/>
        </w:rPr>
      </w:pPr>
    </w:p>
    <w:p w14:paraId="2B155072" w14:textId="3F7B0094" w:rsidR="00CD23AE" w:rsidRDefault="00127FFC" w:rsidP="00756EE5">
      <w:pPr>
        <w:pStyle w:val="Ttulo6"/>
        <w:tabs>
          <w:tab w:val="left" w:pos="2090"/>
          <w:tab w:val="left" w:pos="2786"/>
          <w:tab w:val="left" w:pos="3102"/>
          <w:tab w:val="left" w:pos="5217"/>
          <w:tab w:val="left" w:pos="6019"/>
          <w:tab w:val="left" w:pos="6559"/>
          <w:tab w:val="left" w:pos="8058"/>
          <w:tab w:val="left" w:pos="9656"/>
        </w:tabs>
        <w:spacing w:line="268" w:lineRule="auto"/>
        <w:ind w:right="173"/>
        <w:jc w:val="both"/>
        <w:rPr>
          <w:rFonts w:ascii="Arial" w:eastAsia="Arial" w:hAnsi="Arial" w:cs="Arial"/>
          <w:sz w:val="24"/>
          <w:szCs w:val="24"/>
        </w:rPr>
      </w:pPr>
      <w:r>
        <w:rPr>
          <w:rFonts w:ascii="Arial" w:eastAsia="Arial" w:hAnsi="Arial" w:cs="Arial"/>
          <w:color w:val="916F41"/>
          <w:sz w:val="24"/>
          <w:szCs w:val="24"/>
        </w:rPr>
        <w:t xml:space="preserve">ARTÍCULO 27°. - </w:t>
      </w:r>
      <w:r>
        <w:rPr>
          <w:rFonts w:ascii="Arial" w:eastAsia="Arial" w:hAnsi="Arial" w:cs="Arial"/>
          <w:sz w:val="24"/>
          <w:szCs w:val="24"/>
        </w:rPr>
        <w:t>DESIGNACIÓN POR EL CONSEJO SUPERIOR DE</w:t>
      </w:r>
      <w:r w:rsidR="00756EE5">
        <w:rPr>
          <w:rFonts w:ascii="Arial" w:eastAsia="Arial" w:hAnsi="Arial" w:cs="Arial"/>
          <w:sz w:val="24"/>
          <w:szCs w:val="24"/>
        </w:rPr>
        <w:t xml:space="preserve"> </w:t>
      </w:r>
      <w:r>
        <w:rPr>
          <w:rFonts w:ascii="Arial" w:eastAsia="Arial" w:hAnsi="Arial" w:cs="Arial"/>
          <w:sz w:val="24"/>
          <w:szCs w:val="24"/>
        </w:rPr>
        <w:t>ARBITRAJE</w:t>
      </w:r>
    </w:p>
    <w:p w14:paraId="6BBBDD4F" w14:textId="77777777" w:rsidR="00CD23AE" w:rsidRDefault="00127FFC">
      <w:pPr>
        <w:numPr>
          <w:ilvl w:val="0"/>
          <w:numId w:val="32"/>
        </w:numPr>
        <w:pBdr>
          <w:top w:val="nil"/>
          <w:left w:val="nil"/>
          <w:bottom w:val="nil"/>
          <w:right w:val="nil"/>
          <w:between w:val="nil"/>
        </w:pBdr>
        <w:tabs>
          <w:tab w:val="left" w:pos="776"/>
        </w:tabs>
        <w:spacing w:before="183" w:line="273" w:lineRule="auto"/>
        <w:ind w:right="173" w:firstLine="0"/>
        <w:jc w:val="both"/>
        <w:rPr>
          <w:rFonts w:ascii="Arial" w:eastAsia="Arial" w:hAnsi="Arial" w:cs="Arial"/>
          <w:color w:val="000000"/>
        </w:rPr>
      </w:pPr>
      <w:r>
        <w:rPr>
          <w:rFonts w:ascii="Arial" w:eastAsia="Arial" w:hAnsi="Arial" w:cs="Arial"/>
          <w:color w:val="000000"/>
        </w:rPr>
        <w:t>De no haberse producido la designación de uno o más árbitros por las partes, o por los propios árbitros cuando se trate del presidente del tribunal arbitral, conforme al presente Reglamento, o cuando las partes así lo hayan pactado, corresponde el Consejo Superior de Arbitraje efectuará la designación entre los integrantes de la Nómina de Árbitros del Centro, teniendo en cuenta lo siguiente:</w:t>
      </w:r>
    </w:p>
    <w:p w14:paraId="21260CDF" w14:textId="77777777" w:rsidR="00CD23AE" w:rsidRDefault="00127FFC">
      <w:pPr>
        <w:numPr>
          <w:ilvl w:val="1"/>
          <w:numId w:val="32"/>
        </w:numPr>
        <w:pBdr>
          <w:top w:val="nil"/>
          <w:left w:val="nil"/>
          <w:bottom w:val="nil"/>
          <w:right w:val="nil"/>
          <w:between w:val="nil"/>
        </w:pBdr>
        <w:tabs>
          <w:tab w:val="left" w:pos="1514"/>
        </w:tabs>
        <w:spacing w:before="187"/>
        <w:ind w:left="1560" w:hanging="283"/>
        <w:jc w:val="both"/>
        <w:rPr>
          <w:rFonts w:ascii="Arial" w:eastAsia="Arial" w:hAnsi="Arial" w:cs="Arial"/>
          <w:color w:val="000000"/>
        </w:rPr>
      </w:pPr>
      <w:r>
        <w:rPr>
          <w:rFonts w:ascii="Arial" w:eastAsia="Arial" w:hAnsi="Arial" w:cs="Arial"/>
          <w:color w:val="000000"/>
        </w:rPr>
        <w:lastRenderedPageBreak/>
        <w:t>Naturaleza y complejidad de la controversia.</w:t>
      </w:r>
    </w:p>
    <w:p w14:paraId="4BC89383" w14:textId="77777777" w:rsidR="00CD23AE" w:rsidRDefault="00127FFC">
      <w:pPr>
        <w:numPr>
          <w:ilvl w:val="1"/>
          <w:numId w:val="32"/>
        </w:numPr>
        <w:pBdr>
          <w:top w:val="nil"/>
          <w:left w:val="nil"/>
          <w:bottom w:val="nil"/>
          <w:right w:val="nil"/>
          <w:between w:val="nil"/>
        </w:pBdr>
        <w:tabs>
          <w:tab w:val="left" w:pos="1514"/>
        </w:tabs>
        <w:spacing w:before="236"/>
        <w:ind w:left="1560" w:hanging="283"/>
        <w:jc w:val="both"/>
        <w:rPr>
          <w:rFonts w:ascii="Arial" w:eastAsia="Arial" w:hAnsi="Arial" w:cs="Arial"/>
          <w:color w:val="000000"/>
        </w:rPr>
      </w:pPr>
      <w:r>
        <w:rPr>
          <w:rFonts w:ascii="Arial" w:eastAsia="Arial" w:hAnsi="Arial" w:cs="Arial"/>
          <w:color w:val="000000"/>
        </w:rPr>
        <w:t>Especialidad del árbitro.</w:t>
      </w:r>
    </w:p>
    <w:p w14:paraId="68CFF3E3" w14:textId="77777777" w:rsidR="00CD23AE" w:rsidRDefault="00127FFC">
      <w:pPr>
        <w:numPr>
          <w:ilvl w:val="1"/>
          <w:numId w:val="32"/>
        </w:numPr>
        <w:pBdr>
          <w:top w:val="nil"/>
          <w:left w:val="nil"/>
          <w:bottom w:val="nil"/>
          <w:right w:val="nil"/>
          <w:between w:val="nil"/>
        </w:pBdr>
        <w:tabs>
          <w:tab w:val="left" w:pos="1514"/>
        </w:tabs>
        <w:spacing w:before="236"/>
        <w:ind w:left="1560" w:hanging="283"/>
        <w:jc w:val="both"/>
        <w:rPr>
          <w:rFonts w:ascii="Arial" w:eastAsia="Arial" w:hAnsi="Arial" w:cs="Arial"/>
          <w:color w:val="000000"/>
        </w:rPr>
      </w:pPr>
      <w:r>
        <w:rPr>
          <w:rFonts w:ascii="Arial" w:eastAsia="Arial" w:hAnsi="Arial" w:cs="Arial"/>
          <w:color w:val="000000"/>
        </w:rPr>
        <w:t>Experiencia en la materia.</w:t>
      </w:r>
    </w:p>
    <w:p w14:paraId="0CCC2981" w14:textId="77777777" w:rsidR="00CD23AE" w:rsidRDefault="00127FFC">
      <w:pPr>
        <w:numPr>
          <w:ilvl w:val="1"/>
          <w:numId w:val="32"/>
        </w:numPr>
        <w:pBdr>
          <w:top w:val="nil"/>
          <w:left w:val="nil"/>
          <w:bottom w:val="nil"/>
          <w:right w:val="nil"/>
          <w:between w:val="nil"/>
        </w:pBdr>
        <w:tabs>
          <w:tab w:val="left" w:pos="1514"/>
        </w:tabs>
        <w:spacing w:before="236"/>
        <w:ind w:left="1560" w:hanging="283"/>
        <w:jc w:val="both"/>
        <w:rPr>
          <w:rFonts w:ascii="Arial" w:eastAsia="Arial" w:hAnsi="Arial" w:cs="Arial"/>
          <w:color w:val="000000"/>
        </w:rPr>
      </w:pPr>
      <w:r>
        <w:rPr>
          <w:rFonts w:ascii="Arial" w:eastAsia="Arial" w:hAnsi="Arial" w:cs="Arial"/>
          <w:color w:val="000000"/>
        </w:rPr>
        <w:t>Disponibilidad para la atención eficiente del arbitraje.</w:t>
      </w:r>
    </w:p>
    <w:p w14:paraId="0F60EBC5" w14:textId="77777777" w:rsidR="00CD23AE" w:rsidRDefault="00127FFC">
      <w:pPr>
        <w:numPr>
          <w:ilvl w:val="1"/>
          <w:numId w:val="32"/>
        </w:numPr>
        <w:pBdr>
          <w:top w:val="nil"/>
          <w:left w:val="nil"/>
          <w:bottom w:val="nil"/>
          <w:right w:val="nil"/>
          <w:between w:val="nil"/>
        </w:pBdr>
        <w:tabs>
          <w:tab w:val="left" w:pos="1514"/>
        </w:tabs>
        <w:spacing w:before="236"/>
        <w:ind w:left="1560" w:hanging="283"/>
        <w:jc w:val="both"/>
        <w:rPr>
          <w:rFonts w:ascii="Arial" w:eastAsia="Arial" w:hAnsi="Arial" w:cs="Arial"/>
          <w:color w:val="000000"/>
        </w:rPr>
      </w:pPr>
      <w:r>
        <w:rPr>
          <w:rFonts w:ascii="Arial" w:eastAsia="Arial" w:hAnsi="Arial" w:cs="Arial"/>
          <w:color w:val="000000"/>
        </w:rPr>
        <w:t>Aptitudes personales – Criterio Discrecional</w:t>
      </w:r>
    </w:p>
    <w:p w14:paraId="144196FF" w14:textId="77777777" w:rsidR="00CD23AE" w:rsidRDefault="00127FFC">
      <w:pPr>
        <w:numPr>
          <w:ilvl w:val="1"/>
          <w:numId w:val="32"/>
        </w:numPr>
        <w:pBdr>
          <w:top w:val="nil"/>
          <w:left w:val="nil"/>
          <w:bottom w:val="nil"/>
          <w:right w:val="nil"/>
          <w:between w:val="nil"/>
        </w:pBdr>
        <w:tabs>
          <w:tab w:val="left" w:pos="1514"/>
        </w:tabs>
        <w:spacing w:before="236"/>
        <w:ind w:left="1560" w:hanging="283"/>
        <w:jc w:val="both"/>
        <w:rPr>
          <w:rFonts w:ascii="Arial" w:eastAsia="Arial" w:hAnsi="Arial" w:cs="Arial"/>
          <w:color w:val="000000"/>
        </w:rPr>
      </w:pPr>
      <w:r>
        <w:rPr>
          <w:rFonts w:ascii="Arial" w:eastAsia="Arial" w:hAnsi="Arial" w:cs="Arial"/>
          <w:color w:val="000000"/>
        </w:rPr>
        <w:t>No tener sanciones éticas por el Consejo Superior de Arbitraje.</w:t>
      </w:r>
    </w:p>
    <w:p w14:paraId="334A717B" w14:textId="77777777" w:rsidR="00CD23AE" w:rsidRDefault="00127FFC">
      <w:pPr>
        <w:numPr>
          <w:ilvl w:val="0"/>
          <w:numId w:val="32"/>
        </w:numPr>
        <w:pBdr>
          <w:top w:val="nil"/>
          <w:left w:val="nil"/>
          <w:bottom w:val="nil"/>
          <w:right w:val="nil"/>
          <w:between w:val="nil"/>
        </w:pBdr>
        <w:tabs>
          <w:tab w:val="left" w:pos="781"/>
        </w:tabs>
        <w:spacing w:before="236" w:line="273" w:lineRule="auto"/>
        <w:ind w:right="173" w:firstLine="0"/>
        <w:jc w:val="both"/>
        <w:rPr>
          <w:rFonts w:ascii="Arial" w:eastAsia="Arial" w:hAnsi="Arial" w:cs="Arial"/>
          <w:color w:val="000000"/>
        </w:rPr>
      </w:pPr>
      <w:r>
        <w:rPr>
          <w:rFonts w:ascii="Arial" w:eastAsia="Arial" w:hAnsi="Arial" w:cs="Arial"/>
          <w:color w:val="000000"/>
        </w:rPr>
        <w:t>Adicionalmente para el caso de un arbitraje internacional, tratándose de árbitro único o del presidente del tribunal arbitral, se tendrá en cuenta la conveniencia de nombrar un árbitro de nacionalidad distinta a la de las partes</w:t>
      </w:r>
    </w:p>
    <w:p w14:paraId="49F0420A" w14:textId="77777777" w:rsidR="00CD23AE" w:rsidRDefault="00CD23AE">
      <w:pPr>
        <w:pBdr>
          <w:top w:val="nil"/>
          <w:left w:val="nil"/>
          <w:bottom w:val="nil"/>
          <w:right w:val="nil"/>
          <w:between w:val="nil"/>
        </w:pBdr>
        <w:spacing w:before="62"/>
        <w:jc w:val="both"/>
        <w:rPr>
          <w:rFonts w:ascii="Arial" w:eastAsia="Arial" w:hAnsi="Arial" w:cs="Arial"/>
          <w:color w:val="000000"/>
        </w:rPr>
      </w:pPr>
    </w:p>
    <w:p w14:paraId="212268FA" w14:textId="77777777" w:rsidR="00CD23AE" w:rsidRDefault="00127FFC" w:rsidP="00756EE5">
      <w:pPr>
        <w:pStyle w:val="Ttulo6"/>
        <w:jc w:val="both"/>
        <w:rPr>
          <w:rFonts w:ascii="Arial" w:eastAsia="Arial" w:hAnsi="Arial" w:cs="Arial"/>
          <w:sz w:val="24"/>
          <w:szCs w:val="24"/>
        </w:rPr>
      </w:pPr>
      <w:r>
        <w:rPr>
          <w:rFonts w:ascii="Arial" w:eastAsia="Arial" w:hAnsi="Arial" w:cs="Arial"/>
          <w:color w:val="916F41"/>
          <w:sz w:val="24"/>
          <w:szCs w:val="24"/>
        </w:rPr>
        <w:t>ARTÍCULO 28°. -</w:t>
      </w:r>
      <w:r>
        <w:rPr>
          <w:rFonts w:ascii="Arial" w:eastAsia="Arial" w:hAnsi="Arial" w:cs="Arial"/>
          <w:sz w:val="24"/>
          <w:szCs w:val="24"/>
        </w:rPr>
        <w:t xml:space="preserve"> PLURALIDAD DE DEMANDANTES Y DEMANDADOS</w:t>
      </w:r>
    </w:p>
    <w:p w14:paraId="40221583" w14:textId="77777777" w:rsidR="00CD23AE" w:rsidRDefault="00127FFC">
      <w:pPr>
        <w:pBdr>
          <w:top w:val="nil"/>
          <w:left w:val="nil"/>
          <w:bottom w:val="nil"/>
          <w:right w:val="nil"/>
          <w:between w:val="nil"/>
        </w:pBdr>
        <w:spacing w:before="220" w:line="273" w:lineRule="auto"/>
        <w:ind w:left="506" w:right="173"/>
        <w:jc w:val="both"/>
        <w:rPr>
          <w:rFonts w:ascii="Arial" w:eastAsia="Arial" w:hAnsi="Arial" w:cs="Arial"/>
          <w:color w:val="000000"/>
        </w:rPr>
      </w:pPr>
      <w:bookmarkStart w:id="7" w:name="_heading=h.wlm92xvobhe1" w:colFirst="0" w:colLast="0"/>
      <w:bookmarkEnd w:id="7"/>
      <w:r>
        <w:rPr>
          <w:rFonts w:ascii="Arial" w:eastAsia="Arial" w:hAnsi="Arial" w:cs="Arial"/>
          <w:color w:val="000000"/>
        </w:rPr>
        <w:t>En los casos de tribunales colegiados, cuando una o ambas partes, demandante o demandada, esté conformada por más de una persona, natural o jurídica, el árbitro que le corresponda designar se nombrará de común acuerdo entre ellas, en el plazo de cinco (5) días hábiles de notificadas. A falta de acuerdo, el Consejo Superior de Arbitraje se encargará de la designación.</w:t>
      </w:r>
    </w:p>
    <w:p w14:paraId="76A0227F" w14:textId="77777777" w:rsidR="00CD23AE" w:rsidRDefault="00CD23AE">
      <w:pPr>
        <w:pBdr>
          <w:top w:val="nil"/>
          <w:left w:val="nil"/>
          <w:bottom w:val="nil"/>
          <w:right w:val="nil"/>
          <w:between w:val="nil"/>
        </w:pBdr>
        <w:spacing w:before="73"/>
        <w:jc w:val="both"/>
        <w:rPr>
          <w:rFonts w:ascii="Arial" w:eastAsia="Arial" w:hAnsi="Arial" w:cs="Arial"/>
          <w:color w:val="000000"/>
        </w:rPr>
      </w:pPr>
    </w:p>
    <w:p w14:paraId="78584F27" w14:textId="77777777" w:rsidR="00CD23AE" w:rsidRPr="00756EE5" w:rsidRDefault="00127FFC">
      <w:pPr>
        <w:pStyle w:val="Ttulo6"/>
        <w:ind w:left="506"/>
        <w:jc w:val="both"/>
        <w:rPr>
          <w:rFonts w:ascii="Arial" w:eastAsia="Arial" w:hAnsi="Arial" w:cs="Arial"/>
          <w:sz w:val="24"/>
          <w:szCs w:val="24"/>
        </w:rPr>
      </w:pPr>
      <w:r w:rsidRPr="00756EE5">
        <w:rPr>
          <w:rFonts w:ascii="Arial" w:eastAsia="Arial" w:hAnsi="Arial" w:cs="Arial"/>
          <w:color w:val="916F41"/>
          <w:sz w:val="24"/>
          <w:szCs w:val="24"/>
        </w:rPr>
        <w:t>ARTÍCULO 29°. -</w:t>
      </w:r>
      <w:r w:rsidRPr="00756EE5">
        <w:rPr>
          <w:rFonts w:ascii="Arial" w:eastAsia="Arial" w:hAnsi="Arial" w:cs="Arial"/>
          <w:color w:val="062D60"/>
          <w:sz w:val="24"/>
          <w:szCs w:val="24"/>
        </w:rPr>
        <w:t xml:space="preserve"> </w:t>
      </w:r>
      <w:r w:rsidRPr="00756EE5">
        <w:rPr>
          <w:rFonts w:ascii="Arial" w:eastAsia="Arial" w:hAnsi="Arial" w:cs="Arial"/>
          <w:sz w:val="24"/>
          <w:szCs w:val="24"/>
        </w:rPr>
        <w:t>INFORMACIÓN PARA DESIGNACIÓN</w:t>
      </w:r>
    </w:p>
    <w:p w14:paraId="6EE19675" w14:textId="77777777" w:rsidR="00CD23AE" w:rsidRDefault="00127FFC">
      <w:pPr>
        <w:pBdr>
          <w:top w:val="nil"/>
          <w:left w:val="nil"/>
          <w:bottom w:val="nil"/>
          <w:right w:val="nil"/>
          <w:between w:val="nil"/>
        </w:pBdr>
        <w:spacing w:before="220" w:line="273" w:lineRule="auto"/>
        <w:ind w:left="506" w:right="173"/>
        <w:jc w:val="both"/>
        <w:rPr>
          <w:rFonts w:ascii="Arial" w:eastAsia="Arial" w:hAnsi="Arial" w:cs="Arial"/>
        </w:rPr>
      </w:pPr>
      <w:r>
        <w:rPr>
          <w:rFonts w:ascii="Arial" w:eastAsia="Arial" w:hAnsi="Arial" w:cs="Arial"/>
          <w:color w:val="000000"/>
        </w:rPr>
        <w:t>El Consejo Superior de Arbitraje a través de la Secretaría General se encuentra facultada para solicitar a cualquiera de las partes la información que considere necesaria para poder efectuar la designación del árbitro o los árbitros de la mejor manera. En este caso, las partes se encuentran obligadas a brindar la información requerida en los plazos establecidos para tal fin.</w:t>
      </w:r>
    </w:p>
    <w:p w14:paraId="5F55FA1E" w14:textId="77777777" w:rsidR="00CD23AE" w:rsidRDefault="00CD23AE">
      <w:pPr>
        <w:rPr>
          <w:rFonts w:ascii="Arial" w:eastAsia="Arial" w:hAnsi="Arial" w:cs="Arial"/>
        </w:rPr>
      </w:pPr>
    </w:p>
    <w:p w14:paraId="0069353B" w14:textId="77777777" w:rsidR="00CD23AE" w:rsidRDefault="00127FFC" w:rsidP="00756EE5">
      <w:pPr>
        <w:pStyle w:val="Ttulo3"/>
        <w:jc w:val="both"/>
        <w:rPr>
          <w:rFonts w:ascii="Arial" w:eastAsia="Arial" w:hAnsi="Arial" w:cs="Arial"/>
          <w:b/>
          <w:color w:val="E80303"/>
          <w:sz w:val="26"/>
          <w:szCs w:val="26"/>
        </w:rPr>
      </w:pPr>
      <w:r>
        <w:rPr>
          <w:rFonts w:ascii="Arial" w:eastAsia="Arial" w:hAnsi="Arial" w:cs="Arial"/>
          <w:b/>
          <w:color w:val="E80303"/>
          <w:sz w:val="26"/>
          <w:szCs w:val="26"/>
        </w:rPr>
        <w:t>SUBCAPÍTULO III: APARTAMIENTO, RECUSACIÓN, RENUNCIA Y SUSTITUCIÓN DE ÁRBITROS</w:t>
      </w:r>
    </w:p>
    <w:p w14:paraId="5F2BD43A" w14:textId="77777777" w:rsidR="00CD23AE" w:rsidRDefault="00127FFC" w:rsidP="00756EE5">
      <w:pPr>
        <w:pStyle w:val="Ttulo6"/>
        <w:spacing w:before="253"/>
        <w:jc w:val="both"/>
        <w:rPr>
          <w:rFonts w:ascii="Arial" w:eastAsia="Arial" w:hAnsi="Arial" w:cs="Arial"/>
          <w:sz w:val="24"/>
          <w:szCs w:val="24"/>
        </w:rPr>
      </w:pPr>
      <w:r>
        <w:rPr>
          <w:rFonts w:ascii="Arial" w:eastAsia="Arial" w:hAnsi="Arial" w:cs="Arial"/>
          <w:color w:val="916F41"/>
          <w:sz w:val="24"/>
          <w:szCs w:val="24"/>
        </w:rPr>
        <w:t xml:space="preserve">ARTÍCULO 30°. - </w:t>
      </w:r>
      <w:r>
        <w:rPr>
          <w:rFonts w:ascii="Arial" w:eastAsia="Arial" w:hAnsi="Arial" w:cs="Arial"/>
          <w:sz w:val="24"/>
          <w:szCs w:val="24"/>
        </w:rPr>
        <w:t>CAUSALES DE RECUSACIÓN</w:t>
      </w:r>
    </w:p>
    <w:p w14:paraId="2F798CF7" w14:textId="77777777" w:rsidR="00CD23AE" w:rsidRDefault="00127FFC">
      <w:pPr>
        <w:numPr>
          <w:ilvl w:val="0"/>
          <w:numId w:val="31"/>
        </w:numPr>
        <w:pBdr>
          <w:top w:val="nil"/>
          <w:left w:val="nil"/>
          <w:bottom w:val="nil"/>
          <w:right w:val="nil"/>
          <w:between w:val="nil"/>
        </w:pBdr>
        <w:tabs>
          <w:tab w:val="left" w:pos="741"/>
        </w:tabs>
        <w:spacing w:before="220"/>
        <w:ind w:left="741" w:hanging="235"/>
        <w:jc w:val="both"/>
        <w:rPr>
          <w:rFonts w:ascii="Arial" w:eastAsia="Arial" w:hAnsi="Arial" w:cs="Arial"/>
          <w:color w:val="000000"/>
        </w:rPr>
      </w:pPr>
      <w:r>
        <w:rPr>
          <w:rFonts w:ascii="Arial" w:eastAsia="Arial" w:hAnsi="Arial" w:cs="Arial"/>
          <w:color w:val="000000"/>
        </w:rPr>
        <w:t>Los árbitros pueden ser recusados sólo por las causales siguientes:</w:t>
      </w:r>
    </w:p>
    <w:p w14:paraId="6521A410" w14:textId="77777777" w:rsidR="00CD23AE" w:rsidRDefault="00127FFC">
      <w:pPr>
        <w:numPr>
          <w:ilvl w:val="0"/>
          <w:numId w:val="65"/>
        </w:numPr>
        <w:pBdr>
          <w:top w:val="nil"/>
          <w:left w:val="nil"/>
          <w:bottom w:val="nil"/>
          <w:right w:val="nil"/>
          <w:between w:val="nil"/>
        </w:pBdr>
        <w:tabs>
          <w:tab w:val="left" w:pos="741"/>
        </w:tabs>
        <w:spacing w:before="220"/>
        <w:jc w:val="both"/>
        <w:rPr>
          <w:rFonts w:ascii="Arial" w:eastAsia="Arial" w:hAnsi="Arial" w:cs="Arial"/>
          <w:color w:val="000000"/>
        </w:rPr>
      </w:pPr>
      <w:r>
        <w:rPr>
          <w:rFonts w:ascii="Arial" w:eastAsia="Arial" w:hAnsi="Arial" w:cs="Arial"/>
          <w:color w:val="000000"/>
        </w:rPr>
        <w:t>Cuando no reúnan los requisitos previstos expresamente por las partes o aquellos previstos en la normativa aplicable</w:t>
      </w:r>
    </w:p>
    <w:p w14:paraId="569FECD4" w14:textId="77777777" w:rsidR="00CD23AE" w:rsidRDefault="00127FFC">
      <w:pPr>
        <w:numPr>
          <w:ilvl w:val="0"/>
          <w:numId w:val="65"/>
        </w:numPr>
        <w:pBdr>
          <w:top w:val="nil"/>
          <w:left w:val="nil"/>
          <w:bottom w:val="nil"/>
          <w:right w:val="nil"/>
          <w:between w:val="nil"/>
        </w:pBdr>
        <w:tabs>
          <w:tab w:val="left" w:pos="741"/>
        </w:tabs>
        <w:spacing w:before="220"/>
        <w:jc w:val="both"/>
        <w:rPr>
          <w:rFonts w:ascii="Arial" w:eastAsia="Arial" w:hAnsi="Arial" w:cs="Arial"/>
          <w:color w:val="000000"/>
        </w:rPr>
      </w:pPr>
      <w:r>
        <w:rPr>
          <w:rFonts w:ascii="Arial" w:eastAsia="Arial" w:hAnsi="Arial" w:cs="Arial"/>
          <w:color w:val="000000"/>
        </w:rPr>
        <w:t>Cuando existan hechos o circunstancias que den lugar a dudas justificadas y razonables respecto de su</w:t>
      </w:r>
      <w:r>
        <w:rPr>
          <w:rFonts w:ascii="Arial" w:eastAsia="Arial" w:hAnsi="Arial" w:cs="Arial"/>
          <w:color w:val="000000"/>
        </w:rPr>
        <w:tab/>
        <w:t>imparcialidad o independencia.</w:t>
      </w:r>
    </w:p>
    <w:p w14:paraId="504D53E3" w14:textId="77777777" w:rsidR="00CD23AE" w:rsidRDefault="00127FFC">
      <w:pPr>
        <w:numPr>
          <w:ilvl w:val="0"/>
          <w:numId w:val="31"/>
        </w:numPr>
        <w:pBdr>
          <w:top w:val="nil"/>
          <w:left w:val="nil"/>
          <w:bottom w:val="nil"/>
          <w:right w:val="nil"/>
          <w:between w:val="nil"/>
        </w:pBdr>
        <w:tabs>
          <w:tab w:val="left" w:pos="805"/>
        </w:tabs>
        <w:spacing w:before="162" w:line="273" w:lineRule="auto"/>
        <w:ind w:left="506" w:right="173" w:firstLine="0"/>
        <w:jc w:val="both"/>
        <w:rPr>
          <w:rFonts w:ascii="Arial" w:eastAsia="Arial" w:hAnsi="Arial" w:cs="Arial"/>
          <w:color w:val="000000"/>
        </w:rPr>
      </w:pPr>
      <w:r>
        <w:rPr>
          <w:rFonts w:ascii="Arial" w:eastAsia="Arial" w:hAnsi="Arial" w:cs="Arial"/>
          <w:color w:val="000000"/>
        </w:rPr>
        <w:t>La parte que designó a un árbitro, o que participó de su nombramiento, solo puede recusarlo por motivos que haya tenido conocimiento después de su nombramiento.</w:t>
      </w:r>
    </w:p>
    <w:p w14:paraId="41980142" w14:textId="77777777" w:rsidR="00CD23AE" w:rsidRDefault="00CD23AE">
      <w:pPr>
        <w:pBdr>
          <w:top w:val="nil"/>
          <w:left w:val="nil"/>
          <w:bottom w:val="nil"/>
          <w:right w:val="nil"/>
          <w:between w:val="nil"/>
        </w:pBdr>
        <w:spacing w:before="44"/>
        <w:jc w:val="both"/>
        <w:rPr>
          <w:rFonts w:ascii="Arial" w:eastAsia="Arial" w:hAnsi="Arial" w:cs="Arial"/>
          <w:color w:val="000000"/>
          <w:sz w:val="32"/>
          <w:szCs w:val="32"/>
        </w:rPr>
      </w:pPr>
    </w:p>
    <w:p w14:paraId="7F7519FD" w14:textId="77777777" w:rsidR="00CD23AE" w:rsidRDefault="00127FFC" w:rsidP="00756EE5">
      <w:pPr>
        <w:pStyle w:val="Ttulo6"/>
        <w:spacing w:before="1"/>
        <w:jc w:val="both"/>
        <w:rPr>
          <w:rFonts w:ascii="Arial" w:eastAsia="Arial" w:hAnsi="Arial" w:cs="Arial"/>
          <w:sz w:val="24"/>
          <w:szCs w:val="24"/>
        </w:rPr>
      </w:pPr>
      <w:r>
        <w:rPr>
          <w:rFonts w:ascii="Arial" w:eastAsia="Arial" w:hAnsi="Arial" w:cs="Arial"/>
          <w:color w:val="916F41"/>
          <w:sz w:val="24"/>
          <w:szCs w:val="24"/>
        </w:rPr>
        <w:t>ARTÍCULO 31°. -</w:t>
      </w:r>
      <w:r>
        <w:rPr>
          <w:rFonts w:ascii="Arial" w:eastAsia="Arial" w:hAnsi="Arial" w:cs="Arial"/>
          <w:sz w:val="24"/>
          <w:szCs w:val="24"/>
        </w:rPr>
        <w:t xml:space="preserve"> PROCEDIMIENTO DE RECUSACIÓN</w:t>
      </w:r>
    </w:p>
    <w:p w14:paraId="4A72F705" w14:textId="77777777" w:rsidR="00CD23AE" w:rsidRDefault="00127FFC">
      <w:pPr>
        <w:numPr>
          <w:ilvl w:val="0"/>
          <w:numId w:val="30"/>
        </w:numPr>
        <w:pBdr>
          <w:top w:val="nil"/>
          <w:left w:val="nil"/>
          <w:bottom w:val="nil"/>
          <w:right w:val="nil"/>
          <w:between w:val="nil"/>
        </w:pBdr>
        <w:tabs>
          <w:tab w:val="left" w:pos="815"/>
        </w:tabs>
        <w:spacing w:before="250" w:line="273" w:lineRule="auto"/>
        <w:ind w:right="173" w:firstLine="0"/>
        <w:jc w:val="both"/>
        <w:rPr>
          <w:rFonts w:ascii="Arial" w:eastAsia="Arial" w:hAnsi="Arial" w:cs="Arial"/>
          <w:color w:val="000000"/>
        </w:rPr>
      </w:pPr>
      <w:r>
        <w:rPr>
          <w:rFonts w:ascii="Arial" w:eastAsia="Arial" w:hAnsi="Arial" w:cs="Arial"/>
          <w:color w:val="000000"/>
        </w:rPr>
        <w:t xml:space="preserve">La parte que recuse a un árbitro debe comunicarlo por escrito a la Secretaría General o Arbitral, cuando corresponda, precisando los hechos, fundamentos y, de ser el caso, las pruebas de la recusación, además de adjuntar el comprobante de pago de tasa por recusación de árbitro, siendo de aplicación la Directiva vigente al inicio del arbitraje. De no realizarse el pago de la tasa </w:t>
      </w:r>
      <w:r>
        <w:rPr>
          <w:rFonts w:ascii="Arial" w:eastAsia="Arial" w:hAnsi="Arial" w:cs="Arial"/>
          <w:color w:val="000000"/>
        </w:rPr>
        <w:lastRenderedPageBreak/>
        <w:t>correspondiente, se procederá con el archivo del procedimiento de la recusación, lo que implica que la parte recusante pierde el derecho de interponer nuevamente una recusación por el mismo argumento o hecho.</w:t>
      </w:r>
    </w:p>
    <w:p w14:paraId="377B5B40" w14:textId="77777777" w:rsidR="00CD23AE" w:rsidRDefault="00127FFC">
      <w:pPr>
        <w:numPr>
          <w:ilvl w:val="0"/>
          <w:numId w:val="30"/>
        </w:numPr>
        <w:pBdr>
          <w:top w:val="nil"/>
          <w:left w:val="nil"/>
          <w:bottom w:val="nil"/>
          <w:right w:val="nil"/>
          <w:between w:val="nil"/>
        </w:pBdr>
        <w:tabs>
          <w:tab w:val="left" w:pos="775"/>
        </w:tabs>
        <w:spacing w:before="303" w:line="273" w:lineRule="auto"/>
        <w:ind w:left="482" w:right="197" w:firstLine="0"/>
        <w:jc w:val="both"/>
        <w:rPr>
          <w:rFonts w:ascii="Arial" w:eastAsia="Arial" w:hAnsi="Arial" w:cs="Arial"/>
          <w:color w:val="000000"/>
        </w:rPr>
      </w:pPr>
      <w:r>
        <w:rPr>
          <w:rFonts w:ascii="Arial" w:eastAsia="Arial" w:hAnsi="Arial" w:cs="Arial"/>
          <w:color w:val="000000"/>
        </w:rPr>
        <w:t>La recusación que pretenda presentarse debe ser interpuesta dentro del plazo de cinco (5) días hábiles, contabilizado a partir del día hábil siguiente de notificada la aceptación del árbitro al que se le pretenda recusar o de tomado conocimiento de algún hecho que genere dudas justificadas en su independencia, imparcialidad y/o neutralidad. La acreditación de lo antes mencionado deberá ser para el caso en concreto, debiendo ser probado, acreditado y documentado.</w:t>
      </w:r>
    </w:p>
    <w:p w14:paraId="12687753" w14:textId="77777777" w:rsidR="00CD23AE" w:rsidRDefault="00127FFC">
      <w:pPr>
        <w:numPr>
          <w:ilvl w:val="0"/>
          <w:numId w:val="30"/>
        </w:numPr>
        <w:pBdr>
          <w:top w:val="nil"/>
          <w:left w:val="nil"/>
          <w:bottom w:val="nil"/>
          <w:right w:val="nil"/>
          <w:between w:val="nil"/>
        </w:pBdr>
        <w:tabs>
          <w:tab w:val="left" w:pos="817"/>
        </w:tabs>
        <w:spacing w:before="195" w:line="273" w:lineRule="auto"/>
        <w:ind w:left="482" w:right="197" w:firstLine="0"/>
        <w:jc w:val="both"/>
        <w:rPr>
          <w:rFonts w:ascii="Arial" w:eastAsia="Arial" w:hAnsi="Arial" w:cs="Arial"/>
          <w:color w:val="000000"/>
        </w:rPr>
      </w:pPr>
      <w:r>
        <w:rPr>
          <w:rFonts w:ascii="Arial" w:eastAsia="Arial" w:hAnsi="Arial" w:cs="Arial"/>
          <w:color w:val="000000"/>
        </w:rPr>
        <w:t>Vencido el plazo indicado en el literal anterior y sin existir recusación alguna, se considera que la aceptación del árbitro ha quedado firme.</w:t>
      </w:r>
    </w:p>
    <w:p w14:paraId="4CB67328" w14:textId="376830E2" w:rsidR="00CD23AE" w:rsidRPr="00B00FE6" w:rsidRDefault="00127FFC" w:rsidP="00B00FE6">
      <w:pPr>
        <w:pStyle w:val="Prrafodelista"/>
        <w:numPr>
          <w:ilvl w:val="0"/>
          <w:numId w:val="30"/>
        </w:numPr>
        <w:pBdr>
          <w:top w:val="nil"/>
          <w:left w:val="nil"/>
          <w:bottom w:val="nil"/>
          <w:right w:val="nil"/>
          <w:between w:val="nil"/>
        </w:pBdr>
        <w:tabs>
          <w:tab w:val="left" w:pos="567"/>
        </w:tabs>
        <w:spacing w:before="208" w:line="273" w:lineRule="auto"/>
        <w:ind w:left="426" w:firstLine="0"/>
        <w:rPr>
          <w:rFonts w:ascii="Arial" w:eastAsia="Arial" w:hAnsi="Arial" w:cs="Arial"/>
          <w:color w:val="000000"/>
        </w:rPr>
      </w:pPr>
      <w:r w:rsidRPr="00B00FE6">
        <w:rPr>
          <w:rFonts w:ascii="Arial" w:eastAsia="Arial" w:hAnsi="Arial" w:cs="Arial"/>
          <w:color w:val="000000"/>
        </w:rPr>
        <w:t>La Secretaría General o Arbitral, según corresponda, pone en conocimiento del árbitro recusado y de la otra parte la recusación planteada, a fin de que en el plazo de cinco (5) días hábiles de notificada presente sus descargos de considerarlo pertinente. Asimismo, la Secretaría General informa de esta situación a los demás miembros del tribunal arbitral, de ser el caso. El escrito o los escritos que absuelven el trámite son puestos en conocimiento de la parte que presentó la recusación por un plazo de dos (2) días hábiles de notificada, siendo su absolución notificada al árbitro.</w:t>
      </w:r>
    </w:p>
    <w:p w14:paraId="0E6CB4BA" w14:textId="77777777" w:rsidR="00CD23AE" w:rsidRDefault="00127FFC">
      <w:pPr>
        <w:pBdr>
          <w:top w:val="nil"/>
          <w:left w:val="nil"/>
          <w:bottom w:val="nil"/>
          <w:right w:val="nil"/>
          <w:between w:val="nil"/>
        </w:pBdr>
        <w:tabs>
          <w:tab w:val="left" w:pos="965"/>
        </w:tabs>
        <w:spacing w:before="208" w:line="273" w:lineRule="auto"/>
        <w:ind w:left="482" w:right="197"/>
        <w:jc w:val="both"/>
        <w:rPr>
          <w:rFonts w:ascii="Arial" w:eastAsia="Arial" w:hAnsi="Arial" w:cs="Arial"/>
          <w:color w:val="000000"/>
        </w:rPr>
      </w:pPr>
      <w:r>
        <w:rPr>
          <w:rFonts w:ascii="Arial" w:eastAsia="Arial" w:hAnsi="Arial" w:cs="Arial"/>
          <w:color w:val="000000"/>
        </w:rPr>
        <w:t>Vencidos los plazos con las absoluciones, habiéndole notificado las mismas al árbitro único o al Tribunal Arbitral, o sin ellas, la Secretaría General pondrá en conocimiento del Consejo Superior de Arbitraje la recusación planteada para que la resuelva, incluyendo los actuados y descargos que se hubiesen presentado, para lo cual el Consejo, a criterio, podrá realizar una Audiencia Especial de Recusación.</w:t>
      </w:r>
    </w:p>
    <w:p w14:paraId="7B5E0C53" w14:textId="77777777" w:rsidR="00CD23AE" w:rsidRDefault="00127FFC">
      <w:pPr>
        <w:numPr>
          <w:ilvl w:val="0"/>
          <w:numId w:val="30"/>
        </w:numPr>
        <w:pBdr>
          <w:top w:val="nil"/>
          <w:left w:val="nil"/>
          <w:bottom w:val="nil"/>
          <w:right w:val="nil"/>
          <w:between w:val="nil"/>
        </w:pBdr>
        <w:tabs>
          <w:tab w:val="left" w:pos="914"/>
        </w:tabs>
        <w:spacing w:before="202" w:line="273" w:lineRule="auto"/>
        <w:ind w:right="173" w:firstLine="0"/>
        <w:jc w:val="both"/>
        <w:rPr>
          <w:rFonts w:ascii="Arial" w:eastAsia="Arial" w:hAnsi="Arial" w:cs="Arial"/>
          <w:color w:val="000000"/>
        </w:rPr>
      </w:pPr>
      <w:r>
        <w:rPr>
          <w:rFonts w:ascii="Arial" w:eastAsia="Arial" w:hAnsi="Arial" w:cs="Arial"/>
          <w:color w:val="000000"/>
        </w:rPr>
        <w:t>El Consejo Superior de Arbitraje decide sobre la recusación, con posterioridad a la Audiencia Especial de Recusación, incluso si la otra parte está de acuerdo con la recusación salvo que el árbitro recusado renunciare. En dichos supuestos, se sustituye al árbitro conforme a los mecanismos acordados por las partes. Esto es, si la otra parte (la no recusante) conviene en la recusación o el árbitro renuncia, se procederá al nombramiento del árbitro sustituto en la misma forma en que correspondía nombrar al árbitro recusado, salvo que exista nombrado un árbitro suplente.</w:t>
      </w:r>
    </w:p>
    <w:p w14:paraId="620BB44D" w14:textId="77777777" w:rsidR="00CD23AE" w:rsidRDefault="00127FFC">
      <w:pPr>
        <w:numPr>
          <w:ilvl w:val="0"/>
          <w:numId w:val="30"/>
        </w:numPr>
        <w:pBdr>
          <w:top w:val="nil"/>
          <w:left w:val="nil"/>
          <w:bottom w:val="nil"/>
          <w:right w:val="nil"/>
          <w:between w:val="nil"/>
        </w:pBdr>
        <w:tabs>
          <w:tab w:val="left" w:pos="835"/>
        </w:tabs>
        <w:spacing w:before="9" w:line="273" w:lineRule="auto"/>
        <w:ind w:right="173" w:firstLine="0"/>
        <w:jc w:val="both"/>
        <w:rPr>
          <w:rFonts w:ascii="Arial" w:eastAsia="Arial" w:hAnsi="Arial" w:cs="Arial"/>
        </w:rPr>
      </w:pPr>
      <w:r>
        <w:rPr>
          <w:rFonts w:ascii="Arial" w:eastAsia="Arial" w:hAnsi="Arial" w:cs="Arial"/>
          <w:color w:val="000000"/>
        </w:rPr>
        <w:t>La recusación pendiente de resolución no interrumpe el desarrollo del arbitraje, salvo que el tribunal arbitral, una vez informado de la recusación por la Secretaría General, estime que existen motivos atendibles para ello, en cuyo caso todos los plazos quedan suspendidos. Si se tratase de un arbitraje a cargo de un árbitro único, indefectiblemente se suspenden las actuaciones; lo mismo aplica si se han recusado a dos (2) o tres (3) árbitros.</w:t>
      </w:r>
    </w:p>
    <w:p w14:paraId="7610DA64" w14:textId="77777777" w:rsidR="00CD23AE" w:rsidRDefault="00CD23AE">
      <w:pPr>
        <w:pBdr>
          <w:top w:val="nil"/>
          <w:left w:val="nil"/>
          <w:bottom w:val="nil"/>
          <w:right w:val="nil"/>
          <w:between w:val="nil"/>
        </w:pBdr>
        <w:tabs>
          <w:tab w:val="left" w:pos="835"/>
        </w:tabs>
        <w:spacing w:before="9" w:line="273" w:lineRule="auto"/>
        <w:ind w:left="506" w:right="173"/>
        <w:jc w:val="both"/>
        <w:rPr>
          <w:rFonts w:ascii="Arial" w:eastAsia="Arial" w:hAnsi="Arial" w:cs="Arial"/>
          <w:color w:val="000000"/>
        </w:rPr>
      </w:pPr>
    </w:p>
    <w:p w14:paraId="7F972828" w14:textId="77777777" w:rsidR="00CD23AE" w:rsidRDefault="00127FFC">
      <w:pPr>
        <w:numPr>
          <w:ilvl w:val="0"/>
          <w:numId w:val="30"/>
        </w:numPr>
        <w:pBdr>
          <w:top w:val="nil"/>
          <w:left w:val="nil"/>
          <w:bottom w:val="nil"/>
          <w:right w:val="nil"/>
          <w:between w:val="nil"/>
        </w:pBdr>
        <w:tabs>
          <w:tab w:val="left" w:pos="905"/>
        </w:tabs>
        <w:spacing w:line="273" w:lineRule="auto"/>
        <w:ind w:right="173" w:firstLine="0"/>
        <w:jc w:val="both"/>
        <w:rPr>
          <w:rFonts w:ascii="Arial" w:eastAsia="Arial" w:hAnsi="Arial" w:cs="Arial"/>
          <w:color w:val="000000"/>
        </w:rPr>
      </w:pPr>
      <w:r>
        <w:rPr>
          <w:rFonts w:ascii="Arial" w:eastAsia="Arial" w:hAnsi="Arial" w:cs="Arial"/>
          <w:color w:val="000000"/>
        </w:rPr>
        <w:t>No procede interponer recusación cuando haya sido notificada la decisión que señala el plazo para emitir el laudo final.</w:t>
      </w:r>
    </w:p>
    <w:p w14:paraId="64EC9438" w14:textId="77777777" w:rsidR="00CD23AE" w:rsidRDefault="00127FFC">
      <w:pPr>
        <w:numPr>
          <w:ilvl w:val="0"/>
          <w:numId w:val="30"/>
        </w:numPr>
        <w:pBdr>
          <w:top w:val="nil"/>
          <w:left w:val="nil"/>
          <w:bottom w:val="nil"/>
          <w:right w:val="nil"/>
          <w:between w:val="nil"/>
        </w:pBdr>
        <w:tabs>
          <w:tab w:val="left" w:pos="790"/>
        </w:tabs>
        <w:spacing w:before="232" w:line="273" w:lineRule="auto"/>
        <w:ind w:left="482" w:right="197" w:firstLine="0"/>
        <w:jc w:val="both"/>
        <w:rPr>
          <w:rFonts w:ascii="Arial" w:eastAsia="Arial" w:hAnsi="Arial" w:cs="Arial"/>
          <w:color w:val="000000"/>
        </w:rPr>
      </w:pPr>
      <w:r>
        <w:rPr>
          <w:rFonts w:ascii="Arial" w:eastAsia="Arial" w:hAnsi="Arial" w:cs="Arial"/>
          <w:color w:val="000000"/>
        </w:rPr>
        <w:t>De igual modo, no procede recusación basada en decisiones del tribunal arbitral emitidas durante el transcurso de las actuaciones arbitrales.</w:t>
      </w:r>
    </w:p>
    <w:p w14:paraId="62FF14C3" w14:textId="77777777" w:rsidR="00CD23AE" w:rsidRDefault="00127FFC">
      <w:pPr>
        <w:numPr>
          <w:ilvl w:val="0"/>
          <w:numId w:val="30"/>
        </w:numPr>
        <w:pBdr>
          <w:top w:val="nil"/>
          <w:left w:val="nil"/>
          <w:bottom w:val="nil"/>
          <w:right w:val="nil"/>
          <w:between w:val="nil"/>
        </w:pBdr>
        <w:tabs>
          <w:tab w:val="left" w:pos="820"/>
        </w:tabs>
        <w:spacing w:before="237" w:line="273" w:lineRule="auto"/>
        <w:ind w:right="173" w:firstLine="0"/>
        <w:jc w:val="both"/>
        <w:rPr>
          <w:rFonts w:ascii="Arial" w:eastAsia="Arial" w:hAnsi="Arial" w:cs="Arial"/>
          <w:color w:val="000000"/>
        </w:rPr>
      </w:pPr>
      <w:r>
        <w:rPr>
          <w:rFonts w:ascii="Arial" w:eastAsia="Arial" w:hAnsi="Arial" w:cs="Arial"/>
          <w:color w:val="000000"/>
        </w:rPr>
        <w:t>La decisión del Consejo Superior de Arbitraje que resuelve la recusación es definitiva e inimpugnable.</w:t>
      </w:r>
    </w:p>
    <w:p w14:paraId="6ECC76AC" w14:textId="77777777" w:rsidR="00CD23AE" w:rsidRDefault="00127FFC">
      <w:pPr>
        <w:numPr>
          <w:ilvl w:val="0"/>
          <w:numId w:val="30"/>
        </w:numPr>
        <w:pBdr>
          <w:top w:val="nil"/>
          <w:left w:val="nil"/>
          <w:bottom w:val="nil"/>
          <w:right w:val="nil"/>
          <w:between w:val="nil"/>
        </w:pBdr>
        <w:tabs>
          <w:tab w:val="left" w:pos="916"/>
        </w:tabs>
        <w:spacing w:before="237" w:line="273" w:lineRule="auto"/>
        <w:ind w:right="173" w:firstLine="0"/>
        <w:jc w:val="both"/>
        <w:rPr>
          <w:rFonts w:ascii="Arial" w:eastAsia="Arial" w:hAnsi="Arial" w:cs="Arial"/>
          <w:color w:val="000000"/>
        </w:rPr>
      </w:pPr>
      <w:r>
        <w:rPr>
          <w:rFonts w:ascii="Arial" w:eastAsia="Arial" w:hAnsi="Arial" w:cs="Arial"/>
          <w:color w:val="000000"/>
        </w:rPr>
        <w:t xml:space="preserve">El árbitro recusado (cuya recusación haya sido declarada fundada por el Consejo) no podrá </w:t>
      </w:r>
      <w:r>
        <w:rPr>
          <w:rFonts w:ascii="Arial" w:eastAsia="Arial" w:hAnsi="Arial" w:cs="Arial"/>
          <w:color w:val="000000"/>
        </w:rPr>
        <w:lastRenderedPageBreak/>
        <w:t>ser designado por un periodo de seis meses por el Consejo Superior de Arbitraje.</w:t>
      </w:r>
    </w:p>
    <w:p w14:paraId="34F18BA9" w14:textId="77777777" w:rsidR="00CD23AE" w:rsidRDefault="00127FFC">
      <w:pPr>
        <w:numPr>
          <w:ilvl w:val="0"/>
          <w:numId w:val="30"/>
        </w:numPr>
        <w:pBdr>
          <w:top w:val="nil"/>
          <w:left w:val="nil"/>
          <w:bottom w:val="nil"/>
          <w:right w:val="nil"/>
          <w:between w:val="nil"/>
        </w:pBdr>
        <w:tabs>
          <w:tab w:val="left" w:pos="918"/>
        </w:tabs>
        <w:spacing w:before="236" w:line="273" w:lineRule="auto"/>
        <w:ind w:right="173" w:firstLine="0"/>
        <w:jc w:val="both"/>
        <w:rPr>
          <w:rFonts w:ascii="Arial" w:eastAsia="Arial" w:hAnsi="Arial" w:cs="Arial"/>
          <w:color w:val="000000"/>
        </w:rPr>
      </w:pPr>
      <w:r>
        <w:rPr>
          <w:rFonts w:ascii="Arial" w:eastAsia="Arial" w:hAnsi="Arial" w:cs="Arial"/>
          <w:color w:val="000000"/>
        </w:rPr>
        <w:t>En el supuesto de declararse fundada la recusación interpuesta, el Árbitro recusado cuenta con un plazo de cinco (5) días hábiles para efectuar la devolución de honorarios que será comunicada por la Secretaría Arbitral, mediante decisión inimpugnable, quien será la encargada de liquidar el monto a devolver tomando en cuenta el estado del proceso y las circunstancias particulares del caso.</w:t>
      </w:r>
    </w:p>
    <w:p w14:paraId="3187B0E1" w14:textId="77777777" w:rsidR="00CD23AE" w:rsidRDefault="00127FFC">
      <w:pPr>
        <w:pStyle w:val="Ttulo6"/>
        <w:spacing w:before="303"/>
        <w:ind w:left="506"/>
        <w:jc w:val="both"/>
        <w:rPr>
          <w:rFonts w:ascii="Arial" w:eastAsia="Arial" w:hAnsi="Arial" w:cs="Arial"/>
          <w:sz w:val="24"/>
          <w:szCs w:val="24"/>
        </w:rPr>
      </w:pPr>
      <w:r>
        <w:rPr>
          <w:rFonts w:ascii="Arial" w:eastAsia="Arial" w:hAnsi="Arial" w:cs="Arial"/>
          <w:color w:val="916F41"/>
          <w:sz w:val="24"/>
          <w:szCs w:val="24"/>
        </w:rPr>
        <w:t xml:space="preserve">ARTÍCULO 32°. - </w:t>
      </w:r>
      <w:r>
        <w:rPr>
          <w:rFonts w:ascii="Arial" w:eastAsia="Arial" w:hAnsi="Arial" w:cs="Arial"/>
          <w:sz w:val="24"/>
          <w:szCs w:val="24"/>
        </w:rPr>
        <w:t>APARTAMIENTO Y RENUNCIA AL CARGO DE ÁRBITRO</w:t>
      </w:r>
    </w:p>
    <w:p w14:paraId="3D998373" w14:textId="77777777" w:rsidR="00CD23AE" w:rsidRDefault="00127FFC">
      <w:pPr>
        <w:numPr>
          <w:ilvl w:val="0"/>
          <w:numId w:val="29"/>
        </w:numPr>
        <w:pBdr>
          <w:top w:val="nil"/>
          <w:left w:val="nil"/>
          <w:bottom w:val="nil"/>
          <w:right w:val="nil"/>
          <w:between w:val="nil"/>
        </w:pBdr>
        <w:tabs>
          <w:tab w:val="left" w:pos="774"/>
        </w:tabs>
        <w:spacing w:before="265" w:line="273" w:lineRule="auto"/>
        <w:ind w:right="173" w:firstLine="0"/>
        <w:jc w:val="both"/>
        <w:rPr>
          <w:rFonts w:ascii="Arial" w:eastAsia="Arial" w:hAnsi="Arial" w:cs="Arial"/>
          <w:color w:val="000000"/>
        </w:rPr>
      </w:pPr>
      <w:r>
        <w:rPr>
          <w:rFonts w:ascii="Arial" w:eastAsia="Arial" w:hAnsi="Arial" w:cs="Arial"/>
          <w:color w:val="000000"/>
        </w:rPr>
        <w:t>Las partes pueden solicitar a los árbitros que se aparten del arbitraje si consideran que existen motivos justificados que así lo ameritan.</w:t>
      </w:r>
    </w:p>
    <w:p w14:paraId="4554B934" w14:textId="77777777" w:rsidR="00CD23AE" w:rsidRDefault="00127FFC">
      <w:pPr>
        <w:numPr>
          <w:ilvl w:val="0"/>
          <w:numId w:val="29"/>
        </w:numPr>
        <w:pBdr>
          <w:top w:val="nil"/>
          <w:left w:val="nil"/>
          <w:bottom w:val="nil"/>
          <w:right w:val="nil"/>
          <w:between w:val="nil"/>
        </w:pBdr>
        <w:tabs>
          <w:tab w:val="left" w:pos="829"/>
        </w:tabs>
        <w:spacing w:before="237" w:line="273" w:lineRule="auto"/>
        <w:ind w:right="173" w:firstLine="0"/>
        <w:jc w:val="both"/>
        <w:rPr>
          <w:rFonts w:ascii="Arial" w:eastAsia="Arial" w:hAnsi="Arial" w:cs="Arial"/>
          <w:color w:val="000000"/>
        </w:rPr>
      </w:pPr>
      <w:r>
        <w:rPr>
          <w:rFonts w:ascii="Arial" w:eastAsia="Arial" w:hAnsi="Arial" w:cs="Arial"/>
          <w:color w:val="000000"/>
        </w:rPr>
        <w:t>La Secretaría General traslada dicha solicitud al árbitro por el plazo de tres (3) días hábiles para su pronunciamiento. Si el árbitro se allana al pedido, se entenderá que ha renunciado al cargo.</w:t>
      </w:r>
    </w:p>
    <w:p w14:paraId="5E51E558" w14:textId="77777777" w:rsidR="00CD23AE" w:rsidRDefault="00127FFC">
      <w:pPr>
        <w:numPr>
          <w:ilvl w:val="0"/>
          <w:numId w:val="29"/>
        </w:numPr>
        <w:pBdr>
          <w:top w:val="nil"/>
          <w:left w:val="nil"/>
          <w:bottom w:val="nil"/>
          <w:right w:val="nil"/>
          <w:between w:val="nil"/>
        </w:pBdr>
        <w:tabs>
          <w:tab w:val="left" w:pos="885"/>
        </w:tabs>
        <w:spacing w:before="236" w:line="273" w:lineRule="auto"/>
        <w:ind w:right="173" w:firstLine="0"/>
        <w:jc w:val="both"/>
        <w:rPr>
          <w:rFonts w:ascii="Arial" w:eastAsia="Arial" w:hAnsi="Arial" w:cs="Arial"/>
          <w:color w:val="000000"/>
        </w:rPr>
      </w:pPr>
      <w:r>
        <w:rPr>
          <w:rFonts w:ascii="Arial" w:eastAsia="Arial" w:hAnsi="Arial" w:cs="Arial"/>
          <w:color w:val="000000"/>
        </w:rPr>
        <w:t>Un árbitro podrá renunciar a su cargo por razones justificadas. La Secretaría General, luego de informar a las partes, aprueba o no la renuncia, mediante decisión inimpugnable. Excepcionalmente, la Secretaría General, cuando lo considere necesario podrá derivar una renuncia al Consejo Superior de Arbitraje para su aprobación.</w:t>
      </w:r>
    </w:p>
    <w:p w14:paraId="06D83890" w14:textId="77777777" w:rsidR="00CD23AE" w:rsidRDefault="00127FFC">
      <w:pPr>
        <w:numPr>
          <w:ilvl w:val="0"/>
          <w:numId w:val="29"/>
        </w:numPr>
        <w:pBdr>
          <w:top w:val="nil"/>
          <w:left w:val="nil"/>
          <w:bottom w:val="nil"/>
          <w:right w:val="nil"/>
          <w:between w:val="nil"/>
        </w:pBdr>
        <w:tabs>
          <w:tab w:val="left" w:pos="823"/>
        </w:tabs>
        <w:spacing w:before="234" w:line="273" w:lineRule="auto"/>
        <w:ind w:right="173" w:firstLine="0"/>
        <w:jc w:val="both"/>
        <w:rPr>
          <w:rFonts w:ascii="Arial" w:eastAsia="Arial" w:hAnsi="Arial" w:cs="Arial"/>
          <w:color w:val="000000"/>
        </w:rPr>
      </w:pPr>
      <w:r>
        <w:rPr>
          <w:rFonts w:ascii="Arial" w:eastAsia="Arial" w:hAnsi="Arial" w:cs="Arial"/>
          <w:color w:val="000000"/>
        </w:rPr>
        <w:t>La renuncia de un árbitro o la aceptación por la otra parte de su cese, no se considerará como una aceptación de las causales invocadas por la recusación.</w:t>
      </w:r>
    </w:p>
    <w:p w14:paraId="2FFEACC1" w14:textId="77777777" w:rsidR="00CD23AE" w:rsidRDefault="00127FFC">
      <w:pPr>
        <w:numPr>
          <w:ilvl w:val="0"/>
          <w:numId w:val="29"/>
        </w:numPr>
        <w:pBdr>
          <w:top w:val="nil"/>
          <w:left w:val="nil"/>
          <w:bottom w:val="nil"/>
          <w:right w:val="nil"/>
          <w:between w:val="nil"/>
        </w:pBdr>
        <w:tabs>
          <w:tab w:val="left" w:pos="850"/>
        </w:tabs>
        <w:spacing w:before="236" w:line="273" w:lineRule="auto"/>
        <w:ind w:left="482" w:right="173" w:firstLine="0"/>
        <w:jc w:val="both"/>
        <w:rPr>
          <w:rFonts w:ascii="Arial" w:eastAsia="Arial" w:hAnsi="Arial" w:cs="Arial"/>
          <w:color w:val="000000"/>
        </w:rPr>
      </w:pPr>
      <w:r>
        <w:rPr>
          <w:rFonts w:ascii="Arial" w:eastAsia="Arial" w:hAnsi="Arial" w:cs="Arial"/>
          <w:color w:val="000000"/>
        </w:rPr>
        <w:t>En el supuesto de renuncia o apartamiento, el Árbitro renunciante o apartado cuenta con un plazo de cinco (5) días hábiles para efectuar la devolución de honorarios que será comunicada por la Secretaría Arbitral, mediante decisión inimpugnable, quien será la encargada de liquidar el monto a devolver tomando en cuenta el estado del proceso y las circunstancias particulares del caso.</w:t>
      </w:r>
    </w:p>
    <w:p w14:paraId="583623AE" w14:textId="77777777" w:rsidR="00CD23AE" w:rsidRDefault="00CD23AE">
      <w:pPr>
        <w:pBdr>
          <w:top w:val="nil"/>
          <w:left w:val="nil"/>
          <w:bottom w:val="nil"/>
          <w:right w:val="nil"/>
          <w:between w:val="nil"/>
        </w:pBdr>
        <w:spacing w:before="1"/>
        <w:jc w:val="both"/>
        <w:rPr>
          <w:rFonts w:ascii="Arial" w:eastAsia="Arial" w:hAnsi="Arial" w:cs="Arial"/>
          <w:color w:val="000000"/>
          <w:sz w:val="25"/>
          <w:szCs w:val="25"/>
        </w:rPr>
      </w:pPr>
    </w:p>
    <w:p w14:paraId="3003B390" w14:textId="77777777" w:rsidR="00CD23AE" w:rsidRDefault="00127FFC" w:rsidP="00756EE5">
      <w:pPr>
        <w:pStyle w:val="Ttulo6"/>
        <w:jc w:val="both"/>
        <w:rPr>
          <w:rFonts w:ascii="Arial" w:eastAsia="Arial" w:hAnsi="Arial" w:cs="Arial"/>
          <w:sz w:val="24"/>
          <w:szCs w:val="24"/>
        </w:rPr>
      </w:pPr>
      <w:r>
        <w:rPr>
          <w:rFonts w:ascii="Arial" w:eastAsia="Arial" w:hAnsi="Arial" w:cs="Arial"/>
          <w:color w:val="916F41"/>
          <w:sz w:val="24"/>
          <w:szCs w:val="24"/>
        </w:rPr>
        <w:t xml:space="preserve">ARTÍCULO 33°. - </w:t>
      </w:r>
      <w:r>
        <w:rPr>
          <w:rFonts w:ascii="Arial" w:eastAsia="Arial" w:hAnsi="Arial" w:cs="Arial"/>
          <w:sz w:val="24"/>
          <w:szCs w:val="24"/>
        </w:rPr>
        <w:t>REMOCIÓN</w:t>
      </w:r>
    </w:p>
    <w:p w14:paraId="190C5DA0" w14:textId="77777777" w:rsidR="00CD23AE" w:rsidRDefault="00127FFC">
      <w:pPr>
        <w:pBdr>
          <w:top w:val="nil"/>
          <w:left w:val="nil"/>
          <w:bottom w:val="nil"/>
          <w:right w:val="nil"/>
          <w:between w:val="nil"/>
        </w:pBdr>
        <w:spacing w:before="236"/>
        <w:ind w:left="482"/>
        <w:jc w:val="both"/>
        <w:rPr>
          <w:rFonts w:ascii="Arial" w:eastAsia="Arial" w:hAnsi="Arial" w:cs="Arial"/>
          <w:color w:val="000000"/>
        </w:rPr>
      </w:pPr>
      <w:r>
        <w:rPr>
          <w:rFonts w:ascii="Arial" w:eastAsia="Arial" w:hAnsi="Arial" w:cs="Arial"/>
          <w:color w:val="000000"/>
        </w:rPr>
        <w:t>Procede la remoción de un árbitro en los siguientes casos:</w:t>
      </w:r>
    </w:p>
    <w:p w14:paraId="0A709374" w14:textId="77777777" w:rsidR="00CD23AE" w:rsidRDefault="00127FFC">
      <w:pPr>
        <w:numPr>
          <w:ilvl w:val="0"/>
          <w:numId w:val="28"/>
        </w:numPr>
        <w:pBdr>
          <w:top w:val="nil"/>
          <w:left w:val="nil"/>
          <w:bottom w:val="nil"/>
          <w:right w:val="nil"/>
          <w:between w:val="nil"/>
        </w:pBdr>
        <w:tabs>
          <w:tab w:val="left" w:pos="741"/>
        </w:tabs>
        <w:spacing w:before="251"/>
        <w:ind w:left="741" w:hanging="235"/>
        <w:jc w:val="both"/>
        <w:rPr>
          <w:rFonts w:ascii="Arial" w:eastAsia="Arial" w:hAnsi="Arial" w:cs="Arial"/>
          <w:color w:val="000000"/>
        </w:rPr>
      </w:pPr>
      <w:r>
        <w:rPr>
          <w:rFonts w:ascii="Arial" w:eastAsia="Arial" w:hAnsi="Arial" w:cs="Arial"/>
          <w:color w:val="000000"/>
        </w:rPr>
        <w:t>Cuando las partes de común acuerdo así lo manifiesten por escrito.</w:t>
      </w:r>
    </w:p>
    <w:p w14:paraId="1BD571D4" w14:textId="77777777" w:rsidR="00CD23AE" w:rsidRDefault="00127FFC">
      <w:pPr>
        <w:numPr>
          <w:ilvl w:val="0"/>
          <w:numId w:val="28"/>
        </w:numPr>
        <w:pBdr>
          <w:top w:val="nil"/>
          <w:left w:val="nil"/>
          <w:bottom w:val="nil"/>
          <w:right w:val="nil"/>
          <w:between w:val="nil"/>
        </w:pBdr>
        <w:tabs>
          <w:tab w:val="left" w:pos="822"/>
        </w:tabs>
        <w:spacing w:before="251" w:line="273" w:lineRule="auto"/>
        <w:ind w:left="506" w:right="173" w:firstLine="0"/>
        <w:jc w:val="both"/>
        <w:rPr>
          <w:rFonts w:ascii="Arial" w:eastAsia="Arial" w:hAnsi="Arial" w:cs="Arial"/>
          <w:color w:val="000000"/>
        </w:rPr>
      </w:pPr>
      <w:r>
        <w:rPr>
          <w:rFonts w:ascii="Arial" w:eastAsia="Arial" w:hAnsi="Arial" w:cs="Arial"/>
          <w:color w:val="000000"/>
        </w:rPr>
        <w:t>De oficio o a pedido de parte, cuando el Consejo Superior de Arbitraje decida que existe un impedimento legal o un impedimento de hecho que impida el cumplimiento de sus funciones, o que el árbitro es renuente a participar en las actuaciones arbitrales o no cumple sus funciones de conformidad con estas reglas o dentro de los plazos establecidos.</w:t>
      </w:r>
    </w:p>
    <w:p w14:paraId="667C9DB1" w14:textId="77777777" w:rsidR="00CD23AE" w:rsidRDefault="00127FFC">
      <w:pPr>
        <w:pBdr>
          <w:top w:val="nil"/>
          <w:left w:val="nil"/>
          <w:bottom w:val="nil"/>
          <w:right w:val="nil"/>
          <w:between w:val="nil"/>
        </w:pBdr>
        <w:spacing w:before="204" w:line="273" w:lineRule="auto"/>
        <w:ind w:left="506" w:right="173"/>
        <w:jc w:val="both"/>
        <w:rPr>
          <w:rFonts w:ascii="Arial" w:eastAsia="Arial" w:hAnsi="Arial" w:cs="Arial"/>
          <w:color w:val="000000"/>
        </w:rPr>
      </w:pPr>
      <w:r>
        <w:rPr>
          <w:rFonts w:ascii="Arial" w:eastAsia="Arial" w:hAnsi="Arial" w:cs="Arial"/>
          <w:color w:val="000000"/>
        </w:rPr>
        <w:t>En este caso, el Consejo Superior de Arbitraje decidirá sobre la remoción luego de que el árbitro en cuestión, las partes y, de ser el caso, los demás miembros del Tribunal Arbitral hayan tenido la oportunidad de manifestar lo que consideren pertinente.</w:t>
      </w:r>
    </w:p>
    <w:p w14:paraId="55BA7AAC" w14:textId="6CD1F492" w:rsidR="00CD23AE" w:rsidRDefault="00127FFC">
      <w:pPr>
        <w:numPr>
          <w:ilvl w:val="0"/>
          <w:numId w:val="28"/>
        </w:numPr>
        <w:pBdr>
          <w:top w:val="nil"/>
          <w:left w:val="nil"/>
          <w:bottom w:val="nil"/>
          <w:right w:val="nil"/>
          <w:between w:val="nil"/>
        </w:pBdr>
        <w:tabs>
          <w:tab w:val="left" w:pos="800"/>
        </w:tabs>
        <w:spacing w:before="205" w:line="273" w:lineRule="auto"/>
        <w:ind w:left="506" w:right="173" w:firstLine="0"/>
        <w:jc w:val="both"/>
        <w:rPr>
          <w:rFonts w:ascii="Arial" w:eastAsia="Arial" w:hAnsi="Arial" w:cs="Arial"/>
          <w:color w:val="000000"/>
        </w:rPr>
      </w:pPr>
      <w:r>
        <w:rPr>
          <w:rFonts w:ascii="Arial" w:eastAsia="Arial" w:hAnsi="Arial" w:cs="Arial"/>
          <w:color w:val="000000"/>
        </w:rPr>
        <w:t>En el supuesto de remoción, el Árbitro removido cuenta con un plazo de cinco (5) días hábiles para efectuar la devolución de honorarios que será comunicada por la Secretaría Arbitral, mediante decisión inimpugnable, quien será la encargada de liquidar el monto a devolver tomando en cuenta el estado del proceso y las circunstancias particulares del caso.</w:t>
      </w:r>
    </w:p>
    <w:p w14:paraId="4DA077D4" w14:textId="77777777" w:rsidR="00756EE5" w:rsidRDefault="00756EE5" w:rsidP="00756EE5">
      <w:pPr>
        <w:pBdr>
          <w:top w:val="nil"/>
          <w:left w:val="nil"/>
          <w:bottom w:val="nil"/>
          <w:right w:val="nil"/>
          <w:between w:val="nil"/>
        </w:pBdr>
        <w:tabs>
          <w:tab w:val="left" w:pos="800"/>
        </w:tabs>
        <w:spacing w:before="205" w:line="273" w:lineRule="auto"/>
        <w:ind w:left="506" w:right="173"/>
        <w:jc w:val="both"/>
        <w:rPr>
          <w:rFonts w:ascii="Arial" w:eastAsia="Arial" w:hAnsi="Arial" w:cs="Arial"/>
          <w:color w:val="000000"/>
        </w:rPr>
      </w:pPr>
    </w:p>
    <w:p w14:paraId="6E00FD7C" w14:textId="77777777" w:rsidR="00CD23AE" w:rsidRDefault="00CD23AE">
      <w:pPr>
        <w:pBdr>
          <w:top w:val="nil"/>
          <w:left w:val="nil"/>
          <w:bottom w:val="nil"/>
          <w:right w:val="nil"/>
          <w:between w:val="nil"/>
        </w:pBdr>
        <w:jc w:val="both"/>
        <w:rPr>
          <w:rFonts w:ascii="Arial" w:eastAsia="Arial" w:hAnsi="Arial" w:cs="Arial"/>
          <w:color w:val="000000"/>
          <w:sz w:val="25"/>
          <w:szCs w:val="25"/>
        </w:rPr>
      </w:pPr>
    </w:p>
    <w:p w14:paraId="3709788E" w14:textId="77777777" w:rsidR="00CD23AE" w:rsidRDefault="00127FFC">
      <w:pPr>
        <w:pStyle w:val="Ttulo6"/>
        <w:ind w:left="506"/>
        <w:jc w:val="both"/>
        <w:rPr>
          <w:rFonts w:ascii="Arial" w:eastAsia="Arial" w:hAnsi="Arial" w:cs="Arial"/>
          <w:sz w:val="24"/>
          <w:szCs w:val="24"/>
        </w:rPr>
      </w:pPr>
      <w:r>
        <w:rPr>
          <w:rFonts w:ascii="Arial" w:eastAsia="Arial" w:hAnsi="Arial" w:cs="Arial"/>
          <w:color w:val="916F41"/>
          <w:sz w:val="24"/>
          <w:szCs w:val="24"/>
        </w:rPr>
        <w:lastRenderedPageBreak/>
        <w:t xml:space="preserve">ARTÍCULO 34°. - </w:t>
      </w:r>
      <w:r>
        <w:rPr>
          <w:rFonts w:ascii="Arial" w:eastAsia="Arial" w:hAnsi="Arial" w:cs="Arial"/>
          <w:sz w:val="24"/>
          <w:szCs w:val="24"/>
        </w:rPr>
        <w:t>SUSTITUCIÓN DE ÁRBITROS</w:t>
      </w:r>
    </w:p>
    <w:p w14:paraId="0162B8D4" w14:textId="77777777" w:rsidR="00CD23AE" w:rsidRDefault="00127FFC">
      <w:pPr>
        <w:numPr>
          <w:ilvl w:val="0"/>
          <w:numId w:val="27"/>
        </w:numPr>
        <w:pBdr>
          <w:top w:val="nil"/>
          <w:left w:val="nil"/>
          <w:bottom w:val="nil"/>
          <w:right w:val="nil"/>
          <w:between w:val="nil"/>
        </w:pBdr>
        <w:tabs>
          <w:tab w:val="left" w:pos="741"/>
        </w:tabs>
        <w:spacing w:before="235"/>
        <w:ind w:left="741" w:hanging="235"/>
        <w:jc w:val="both"/>
        <w:rPr>
          <w:rFonts w:ascii="Arial" w:eastAsia="Arial" w:hAnsi="Arial" w:cs="Arial"/>
          <w:color w:val="000000"/>
        </w:rPr>
      </w:pPr>
      <w:r>
        <w:rPr>
          <w:rFonts w:ascii="Arial" w:eastAsia="Arial" w:hAnsi="Arial" w:cs="Arial"/>
          <w:color w:val="000000"/>
        </w:rPr>
        <w:t>La sustitución de los árbitros se rige por las siguientes reglas:</w:t>
      </w:r>
    </w:p>
    <w:p w14:paraId="43595D4E" w14:textId="77777777" w:rsidR="00CD23AE" w:rsidRDefault="00127FFC">
      <w:pPr>
        <w:numPr>
          <w:ilvl w:val="0"/>
          <w:numId w:val="58"/>
        </w:numPr>
        <w:pBdr>
          <w:top w:val="nil"/>
          <w:left w:val="nil"/>
          <w:bottom w:val="nil"/>
          <w:right w:val="nil"/>
          <w:between w:val="nil"/>
        </w:pBdr>
        <w:tabs>
          <w:tab w:val="left" w:pos="2900"/>
          <w:tab w:val="left" w:pos="3421"/>
          <w:tab w:val="left" w:pos="5123"/>
          <w:tab w:val="left" w:pos="5858"/>
          <w:tab w:val="left" w:pos="7734"/>
          <w:tab w:val="left" w:pos="8804"/>
        </w:tabs>
        <w:spacing w:before="251"/>
        <w:ind w:left="993" w:hanging="426"/>
        <w:jc w:val="both"/>
        <w:rPr>
          <w:rFonts w:ascii="Arial" w:eastAsia="Arial" w:hAnsi="Arial" w:cs="Arial"/>
          <w:color w:val="000000"/>
        </w:rPr>
      </w:pPr>
      <w:r>
        <w:rPr>
          <w:rFonts w:ascii="Arial" w:eastAsia="Arial" w:hAnsi="Arial" w:cs="Arial"/>
          <w:color w:val="000000"/>
        </w:rPr>
        <w:t>Procede la sustitución por enfermedad grave, sentencia condenatoria, fallecimiento, por la renuncia, recusación que fuera amparada o remoción.</w:t>
      </w:r>
    </w:p>
    <w:p w14:paraId="565D4D55" w14:textId="77777777" w:rsidR="00CD23AE" w:rsidRDefault="00127FFC">
      <w:pPr>
        <w:numPr>
          <w:ilvl w:val="0"/>
          <w:numId w:val="58"/>
        </w:numPr>
        <w:pBdr>
          <w:top w:val="nil"/>
          <w:left w:val="nil"/>
          <w:bottom w:val="nil"/>
          <w:right w:val="nil"/>
          <w:between w:val="nil"/>
        </w:pBdr>
        <w:spacing w:before="130"/>
        <w:ind w:left="993" w:hanging="416"/>
        <w:jc w:val="both"/>
        <w:rPr>
          <w:rFonts w:ascii="Arial" w:eastAsia="Arial" w:hAnsi="Arial" w:cs="Arial"/>
          <w:color w:val="000000"/>
        </w:rPr>
      </w:pPr>
      <w:r>
        <w:rPr>
          <w:rFonts w:ascii="Arial" w:eastAsia="Arial" w:hAnsi="Arial" w:cs="Arial"/>
          <w:color w:val="000000"/>
        </w:rPr>
        <w:t>La designación del árbitro sustituto se regirá por el mismo mecanismo</w:t>
      </w:r>
      <w:r>
        <w:rPr>
          <w:rFonts w:ascii="Arial" w:eastAsia="Arial" w:hAnsi="Arial" w:cs="Arial"/>
          <w:color w:val="000000"/>
        </w:rPr>
        <w:tab/>
        <w:t>de</w:t>
      </w:r>
      <w:r>
        <w:rPr>
          <w:rFonts w:ascii="Arial" w:eastAsia="Arial" w:hAnsi="Arial" w:cs="Arial"/>
        </w:rPr>
        <w:t xml:space="preserve"> </w:t>
      </w:r>
      <w:r>
        <w:rPr>
          <w:rFonts w:ascii="Arial" w:eastAsia="Arial" w:hAnsi="Arial" w:cs="Arial"/>
          <w:color w:val="000000"/>
        </w:rPr>
        <w:t>designación</w:t>
      </w:r>
      <w:r>
        <w:rPr>
          <w:rFonts w:ascii="Arial" w:eastAsia="Arial" w:hAnsi="Arial" w:cs="Arial"/>
        </w:rPr>
        <w:t xml:space="preserve"> </w:t>
      </w:r>
      <w:r>
        <w:rPr>
          <w:rFonts w:ascii="Arial" w:eastAsia="Arial" w:hAnsi="Arial" w:cs="Arial"/>
          <w:color w:val="000000"/>
        </w:rPr>
        <w:t>del árbitro</w:t>
      </w:r>
      <w:r>
        <w:rPr>
          <w:rFonts w:ascii="Arial" w:eastAsia="Arial" w:hAnsi="Arial" w:cs="Arial"/>
        </w:rPr>
        <w:t xml:space="preserve"> </w:t>
      </w:r>
      <w:r>
        <w:rPr>
          <w:rFonts w:ascii="Arial" w:eastAsia="Arial" w:hAnsi="Arial" w:cs="Arial"/>
          <w:color w:val="000000"/>
        </w:rPr>
        <w:t>sustituido.</w:t>
      </w:r>
      <w:r>
        <w:rPr>
          <w:rFonts w:ascii="Arial" w:eastAsia="Arial" w:hAnsi="Arial" w:cs="Arial"/>
        </w:rPr>
        <w:t xml:space="preserve"> </w:t>
      </w:r>
      <w:r>
        <w:rPr>
          <w:rFonts w:ascii="Arial" w:eastAsia="Arial" w:hAnsi="Arial" w:cs="Arial"/>
          <w:color w:val="000000"/>
        </w:rPr>
        <w:t>Una</w:t>
      </w:r>
      <w:r>
        <w:rPr>
          <w:rFonts w:ascii="Arial" w:eastAsia="Arial" w:hAnsi="Arial" w:cs="Arial"/>
        </w:rPr>
        <w:t xml:space="preserve"> </w:t>
      </w:r>
      <w:r>
        <w:rPr>
          <w:rFonts w:ascii="Arial" w:eastAsia="Arial" w:hAnsi="Arial" w:cs="Arial"/>
          <w:color w:val="000000"/>
        </w:rPr>
        <w:t>vez reconstituido el tribunal arbitral, decidirá si es necesario repetir algunas o todas las actuaciones anteriores.</w:t>
      </w:r>
    </w:p>
    <w:p w14:paraId="546C8C92" w14:textId="77777777" w:rsidR="00CD23AE" w:rsidRDefault="00127FFC">
      <w:pPr>
        <w:numPr>
          <w:ilvl w:val="0"/>
          <w:numId w:val="58"/>
        </w:numPr>
        <w:pBdr>
          <w:top w:val="nil"/>
          <w:left w:val="nil"/>
          <w:bottom w:val="nil"/>
          <w:right w:val="nil"/>
          <w:between w:val="nil"/>
        </w:pBdr>
        <w:spacing w:before="219"/>
        <w:ind w:left="993"/>
        <w:jc w:val="both"/>
        <w:rPr>
          <w:rFonts w:ascii="Arial" w:eastAsia="Arial" w:hAnsi="Arial" w:cs="Arial"/>
          <w:color w:val="000000"/>
        </w:rPr>
      </w:pPr>
      <w:r>
        <w:rPr>
          <w:rFonts w:ascii="Arial" w:eastAsia="Arial" w:hAnsi="Arial" w:cs="Arial"/>
          <w:color w:val="000000"/>
        </w:rPr>
        <w:t>Una vez fijado el plazo para laudar, el Consejo Superior de Arbitraje podrá decidir que los árbitros restantes continúen con el arbitraje, si es que se produce un supuesto de sustitución. Al decidir al respecto, el Consejo Superior de Arbitraje tomará en cuenta la opinión de los árbitros restantes y de las partes, así como cualquier otra cuestión que considere pertinente.</w:t>
      </w:r>
    </w:p>
    <w:p w14:paraId="63599CF2" w14:textId="77777777" w:rsidR="00CD23AE" w:rsidRDefault="00CD23AE">
      <w:pPr>
        <w:pBdr>
          <w:top w:val="nil"/>
          <w:left w:val="nil"/>
          <w:bottom w:val="nil"/>
          <w:right w:val="nil"/>
          <w:between w:val="nil"/>
        </w:pBdr>
        <w:spacing w:before="54"/>
        <w:jc w:val="both"/>
        <w:rPr>
          <w:rFonts w:ascii="Arial" w:eastAsia="Arial" w:hAnsi="Arial" w:cs="Arial"/>
          <w:color w:val="000000"/>
        </w:rPr>
      </w:pPr>
    </w:p>
    <w:p w14:paraId="7FE6DCEE" w14:textId="77777777" w:rsidR="00CD23AE" w:rsidRDefault="00127FFC">
      <w:pPr>
        <w:numPr>
          <w:ilvl w:val="0"/>
          <w:numId w:val="27"/>
        </w:numPr>
        <w:pBdr>
          <w:top w:val="nil"/>
          <w:left w:val="nil"/>
          <w:bottom w:val="nil"/>
          <w:right w:val="nil"/>
          <w:between w:val="nil"/>
        </w:pBdr>
        <w:tabs>
          <w:tab w:val="left" w:pos="821"/>
        </w:tabs>
        <w:spacing w:line="273" w:lineRule="auto"/>
        <w:ind w:left="482" w:right="197" w:firstLine="0"/>
        <w:jc w:val="both"/>
        <w:rPr>
          <w:rFonts w:ascii="Arial" w:eastAsia="Arial" w:hAnsi="Arial" w:cs="Arial"/>
          <w:color w:val="000000"/>
        </w:rPr>
      </w:pPr>
      <w:r>
        <w:rPr>
          <w:rFonts w:ascii="Arial" w:eastAsia="Arial" w:hAnsi="Arial" w:cs="Arial"/>
          <w:color w:val="000000"/>
        </w:rPr>
        <w:t>De producirse la sustitución de un árbitro por renuncia, recusación o remoción, la Secretaría General fija el monto de los honorarios que le corresponden, teniendo en cuenta los motivos de la sustitución y el estado de las actuaciones arbitrales. La Secretaría General dispone la devolución parcial o total de honorarios si fuera necesario. Asimismo, fija los honorarios que le corresponden al árbitro sustituto.</w:t>
      </w:r>
    </w:p>
    <w:p w14:paraId="56B6A1AD" w14:textId="77777777" w:rsidR="00CD23AE" w:rsidRDefault="00CD23AE">
      <w:pPr>
        <w:pBdr>
          <w:top w:val="nil"/>
          <w:left w:val="nil"/>
          <w:bottom w:val="nil"/>
          <w:right w:val="nil"/>
          <w:between w:val="nil"/>
        </w:pBdr>
        <w:tabs>
          <w:tab w:val="left" w:pos="821"/>
        </w:tabs>
        <w:spacing w:line="273" w:lineRule="auto"/>
        <w:ind w:left="742" w:right="197"/>
        <w:jc w:val="both"/>
        <w:rPr>
          <w:rFonts w:ascii="Arial" w:eastAsia="Arial" w:hAnsi="Arial" w:cs="Arial"/>
        </w:rPr>
      </w:pPr>
    </w:p>
    <w:p w14:paraId="37655692" w14:textId="77777777" w:rsidR="00CD23AE" w:rsidRDefault="00127FFC">
      <w:pPr>
        <w:numPr>
          <w:ilvl w:val="0"/>
          <w:numId w:val="27"/>
        </w:numPr>
        <w:pBdr>
          <w:top w:val="nil"/>
          <w:left w:val="nil"/>
          <w:bottom w:val="nil"/>
          <w:right w:val="nil"/>
          <w:between w:val="nil"/>
        </w:pBdr>
        <w:tabs>
          <w:tab w:val="left" w:pos="821"/>
        </w:tabs>
        <w:spacing w:line="273" w:lineRule="auto"/>
        <w:ind w:left="482" w:right="197" w:firstLine="0"/>
        <w:jc w:val="both"/>
        <w:rPr>
          <w:rFonts w:ascii="Arial" w:eastAsia="Arial" w:hAnsi="Arial" w:cs="Arial"/>
          <w:color w:val="000000"/>
        </w:rPr>
      </w:pPr>
      <w:r>
        <w:rPr>
          <w:rFonts w:ascii="Arial" w:eastAsia="Arial" w:hAnsi="Arial" w:cs="Arial"/>
        </w:rPr>
        <w:t>En el supuesto de fallecimiento, el Árbitro no está obligado a realizar devolución de honorarios. No obstante, en el caso de sentencia condenatoria de un árbitro, este contará con un plazo de cinco (5) días hábiles para efectuar la devolución de honorarios que será comunicada por la Secretaría Arbitral, quien será la encargada de liquidar el monto a devolver tomando en cuenta el estado del proceso y las circunstancias particulares del caso.</w:t>
      </w:r>
    </w:p>
    <w:p w14:paraId="45B6E805" w14:textId="77777777" w:rsidR="00CD23AE" w:rsidRDefault="00CD23AE">
      <w:pPr>
        <w:pBdr>
          <w:top w:val="nil"/>
          <w:left w:val="nil"/>
          <w:bottom w:val="nil"/>
          <w:right w:val="nil"/>
          <w:between w:val="nil"/>
        </w:pBdr>
        <w:jc w:val="both"/>
        <w:rPr>
          <w:rFonts w:ascii="Arial" w:eastAsia="Arial" w:hAnsi="Arial" w:cs="Arial"/>
          <w:color w:val="000000"/>
          <w:sz w:val="32"/>
          <w:szCs w:val="32"/>
        </w:rPr>
      </w:pPr>
    </w:p>
    <w:p w14:paraId="14EFDE83" w14:textId="77777777" w:rsidR="00CD23AE" w:rsidRDefault="00CD23AE">
      <w:pPr>
        <w:pBdr>
          <w:top w:val="nil"/>
          <w:left w:val="nil"/>
          <w:bottom w:val="nil"/>
          <w:right w:val="nil"/>
          <w:between w:val="nil"/>
        </w:pBdr>
        <w:jc w:val="both"/>
        <w:rPr>
          <w:rFonts w:ascii="Arial" w:eastAsia="Arial" w:hAnsi="Arial" w:cs="Arial"/>
          <w:color w:val="000000"/>
          <w:sz w:val="32"/>
          <w:szCs w:val="32"/>
        </w:rPr>
      </w:pPr>
    </w:p>
    <w:p w14:paraId="51380122" w14:textId="77777777" w:rsidR="00CD23AE" w:rsidRDefault="00CD23AE">
      <w:pPr>
        <w:pBdr>
          <w:top w:val="nil"/>
          <w:left w:val="nil"/>
          <w:bottom w:val="nil"/>
          <w:right w:val="nil"/>
          <w:between w:val="nil"/>
        </w:pBdr>
        <w:jc w:val="both"/>
        <w:rPr>
          <w:rFonts w:ascii="Arial" w:eastAsia="Arial" w:hAnsi="Arial" w:cs="Arial"/>
          <w:color w:val="000000"/>
          <w:sz w:val="32"/>
          <w:szCs w:val="32"/>
        </w:rPr>
      </w:pPr>
    </w:p>
    <w:p w14:paraId="6C90625F" w14:textId="77777777" w:rsidR="00CD23AE" w:rsidRDefault="00CD23AE">
      <w:pPr>
        <w:pBdr>
          <w:top w:val="nil"/>
          <w:left w:val="nil"/>
          <w:bottom w:val="nil"/>
          <w:right w:val="nil"/>
          <w:between w:val="nil"/>
        </w:pBdr>
        <w:jc w:val="both"/>
        <w:rPr>
          <w:rFonts w:ascii="Arial" w:eastAsia="Arial" w:hAnsi="Arial" w:cs="Arial"/>
          <w:color w:val="000000"/>
          <w:sz w:val="32"/>
          <w:szCs w:val="32"/>
        </w:rPr>
      </w:pPr>
    </w:p>
    <w:p w14:paraId="7A1ABB5D" w14:textId="77777777" w:rsidR="00CD23AE" w:rsidRDefault="00CD23AE">
      <w:pPr>
        <w:pBdr>
          <w:top w:val="nil"/>
          <w:left w:val="nil"/>
          <w:bottom w:val="nil"/>
          <w:right w:val="nil"/>
          <w:between w:val="nil"/>
        </w:pBdr>
        <w:jc w:val="both"/>
        <w:rPr>
          <w:rFonts w:ascii="Arial" w:eastAsia="Arial" w:hAnsi="Arial" w:cs="Arial"/>
          <w:color w:val="000000"/>
          <w:sz w:val="32"/>
          <w:szCs w:val="32"/>
        </w:rPr>
      </w:pPr>
    </w:p>
    <w:p w14:paraId="6E92CB81" w14:textId="77777777" w:rsidR="00CD23AE" w:rsidRDefault="00CD23AE">
      <w:pPr>
        <w:pBdr>
          <w:top w:val="nil"/>
          <w:left w:val="nil"/>
          <w:bottom w:val="nil"/>
          <w:right w:val="nil"/>
          <w:between w:val="nil"/>
        </w:pBdr>
        <w:jc w:val="both"/>
        <w:rPr>
          <w:rFonts w:ascii="Arial" w:eastAsia="Arial" w:hAnsi="Arial" w:cs="Arial"/>
          <w:color w:val="000000"/>
          <w:sz w:val="32"/>
          <w:szCs w:val="32"/>
        </w:rPr>
      </w:pPr>
    </w:p>
    <w:p w14:paraId="10960349" w14:textId="77777777" w:rsidR="00CD23AE" w:rsidRDefault="00CD23AE">
      <w:pPr>
        <w:pBdr>
          <w:top w:val="nil"/>
          <w:left w:val="nil"/>
          <w:bottom w:val="nil"/>
          <w:right w:val="nil"/>
          <w:between w:val="nil"/>
        </w:pBdr>
        <w:jc w:val="both"/>
        <w:rPr>
          <w:rFonts w:ascii="Arial" w:eastAsia="Arial" w:hAnsi="Arial" w:cs="Arial"/>
          <w:color w:val="000000"/>
          <w:sz w:val="32"/>
          <w:szCs w:val="32"/>
        </w:rPr>
        <w:sectPr w:rsidR="00CD23AE">
          <w:headerReference w:type="default" r:id="rId21"/>
          <w:footerReference w:type="default" r:id="rId22"/>
          <w:pgSz w:w="11910" w:h="16850"/>
          <w:pgMar w:top="1559" w:right="992" w:bottom="962" w:left="708" w:header="0" w:footer="0" w:gutter="0"/>
          <w:cols w:space="720"/>
        </w:sectPr>
      </w:pPr>
    </w:p>
    <w:p w14:paraId="6608BEE4" w14:textId="77777777" w:rsidR="00CD23AE" w:rsidRDefault="00127FFC" w:rsidP="00756EE5">
      <w:pPr>
        <w:pStyle w:val="Ttulo2"/>
        <w:ind w:left="0"/>
        <w:jc w:val="center"/>
        <w:rPr>
          <w:rFonts w:ascii="Arial" w:eastAsia="Arial" w:hAnsi="Arial" w:cs="Arial"/>
          <w:b/>
          <w:color w:val="E80303"/>
          <w:sz w:val="26"/>
          <w:szCs w:val="26"/>
        </w:rPr>
      </w:pPr>
      <w:bookmarkStart w:id="8" w:name="_heading=h.df21lriw4qu" w:colFirst="0" w:colLast="0"/>
      <w:bookmarkEnd w:id="8"/>
      <w:r>
        <w:rPr>
          <w:rFonts w:ascii="Arial" w:eastAsia="Arial" w:hAnsi="Arial" w:cs="Arial"/>
          <w:b/>
          <w:color w:val="E80303"/>
          <w:sz w:val="26"/>
          <w:szCs w:val="26"/>
        </w:rPr>
        <w:lastRenderedPageBreak/>
        <w:t>SECCIÓN III: DEL TRÁMITE DE LAS ACTUACIONES ARBITRALES</w:t>
      </w:r>
    </w:p>
    <w:p w14:paraId="78901395" w14:textId="77777777" w:rsidR="00CD23AE" w:rsidRDefault="00127FFC" w:rsidP="00756EE5">
      <w:pPr>
        <w:pStyle w:val="Ttulo2"/>
        <w:spacing w:before="386"/>
        <w:jc w:val="both"/>
        <w:rPr>
          <w:rFonts w:ascii="Arial" w:eastAsia="Arial" w:hAnsi="Arial" w:cs="Arial"/>
          <w:b/>
          <w:color w:val="E80303"/>
          <w:sz w:val="26"/>
          <w:szCs w:val="26"/>
        </w:rPr>
      </w:pPr>
      <w:r>
        <w:rPr>
          <w:rFonts w:ascii="Arial" w:eastAsia="Arial" w:hAnsi="Arial" w:cs="Arial"/>
          <w:b/>
          <w:color w:val="E80303"/>
          <w:sz w:val="26"/>
          <w:szCs w:val="26"/>
        </w:rPr>
        <w:t>CAPÍTULO I: DISPOSICIONES GENERALES</w:t>
      </w:r>
    </w:p>
    <w:p w14:paraId="4A4C2467" w14:textId="77777777" w:rsidR="00CD23AE" w:rsidRDefault="00127FFC" w:rsidP="00756EE5">
      <w:pPr>
        <w:pStyle w:val="Ttulo6"/>
        <w:spacing w:before="363"/>
        <w:jc w:val="both"/>
        <w:rPr>
          <w:rFonts w:ascii="Arial" w:eastAsia="Arial" w:hAnsi="Arial" w:cs="Arial"/>
          <w:sz w:val="24"/>
          <w:szCs w:val="24"/>
        </w:rPr>
      </w:pPr>
      <w:r>
        <w:rPr>
          <w:rFonts w:ascii="Arial" w:eastAsia="Arial" w:hAnsi="Arial" w:cs="Arial"/>
          <w:color w:val="916F41"/>
          <w:sz w:val="24"/>
          <w:szCs w:val="24"/>
        </w:rPr>
        <w:t xml:space="preserve">ARTÍCULO 35°. – </w:t>
      </w:r>
      <w:r>
        <w:rPr>
          <w:rFonts w:ascii="Arial" w:eastAsia="Arial" w:hAnsi="Arial" w:cs="Arial"/>
          <w:sz w:val="24"/>
          <w:szCs w:val="24"/>
        </w:rPr>
        <w:t>PRINCIPIOS</w:t>
      </w:r>
    </w:p>
    <w:p w14:paraId="661D6533" w14:textId="77777777" w:rsidR="00CD23AE" w:rsidRDefault="00127FFC">
      <w:pPr>
        <w:numPr>
          <w:ilvl w:val="0"/>
          <w:numId w:val="26"/>
        </w:numPr>
        <w:pBdr>
          <w:top w:val="nil"/>
          <w:left w:val="nil"/>
          <w:bottom w:val="nil"/>
          <w:right w:val="nil"/>
          <w:between w:val="nil"/>
        </w:pBdr>
        <w:tabs>
          <w:tab w:val="left" w:pos="821"/>
        </w:tabs>
        <w:spacing w:before="225" w:line="273" w:lineRule="auto"/>
        <w:ind w:right="170" w:firstLine="0"/>
        <w:jc w:val="both"/>
        <w:rPr>
          <w:rFonts w:ascii="Arial" w:eastAsia="Arial" w:hAnsi="Arial" w:cs="Arial"/>
          <w:color w:val="000000"/>
        </w:rPr>
      </w:pPr>
      <w:r>
        <w:rPr>
          <w:rFonts w:ascii="Arial" w:eastAsia="Arial" w:hAnsi="Arial" w:cs="Arial"/>
          <w:color w:val="000000"/>
        </w:rPr>
        <w:t>Las partes podrán comparecer en forma personal o a través de sus representantes. Asimismo, podrán ser asesoradas por personas de su elección, debiendo encontrarse acreditadas.</w:t>
      </w:r>
    </w:p>
    <w:p w14:paraId="10C030F1" w14:textId="77777777" w:rsidR="00CD23AE" w:rsidRDefault="00127FFC">
      <w:pPr>
        <w:numPr>
          <w:ilvl w:val="0"/>
          <w:numId w:val="26"/>
        </w:numPr>
        <w:pBdr>
          <w:top w:val="nil"/>
          <w:left w:val="nil"/>
          <w:bottom w:val="nil"/>
          <w:right w:val="nil"/>
          <w:between w:val="nil"/>
        </w:pBdr>
        <w:tabs>
          <w:tab w:val="left" w:pos="809"/>
        </w:tabs>
        <w:spacing w:before="191" w:line="273" w:lineRule="auto"/>
        <w:ind w:right="168" w:firstLine="0"/>
        <w:jc w:val="both"/>
        <w:rPr>
          <w:rFonts w:ascii="Arial" w:eastAsia="Arial" w:hAnsi="Arial" w:cs="Arial"/>
          <w:color w:val="000000"/>
        </w:rPr>
      </w:pPr>
      <w:r>
        <w:rPr>
          <w:rFonts w:ascii="Arial" w:eastAsia="Arial" w:hAnsi="Arial" w:cs="Arial"/>
          <w:color w:val="000000"/>
        </w:rPr>
        <w:t>Las partes, el Tribunal Arbitral y el Centro contribuyen a que un arbitraje sea gestionado en forma eficiente y eficaz, buscando evitar gastos y demoras innecesarias, teniendo en cuenta la naturaleza y complejidad de la controversia.</w:t>
      </w:r>
    </w:p>
    <w:p w14:paraId="3822581B" w14:textId="77777777" w:rsidR="00CD23AE" w:rsidRDefault="00CD23AE">
      <w:pPr>
        <w:pBdr>
          <w:top w:val="nil"/>
          <w:left w:val="nil"/>
          <w:bottom w:val="nil"/>
          <w:right w:val="nil"/>
          <w:between w:val="nil"/>
        </w:pBdr>
        <w:spacing w:before="16"/>
        <w:jc w:val="both"/>
        <w:rPr>
          <w:rFonts w:ascii="Arial" w:eastAsia="Arial" w:hAnsi="Arial" w:cs="Arial"/>
          <w:color w:val="000000"/>
          <w:sz w:val="25"/>
          <w:szCs w:val="25"/>
        </w:rPr>
      </w:pPr>
    </w:p>
    <w:p w14:paraId="189AD363" w14:textId="77777777" w:rsidR="00CD23AE" w:rsidRDefault="00127FFC" w:rsidP="00756EE5">
      <w:pPr>
        <w:pStyle w:val="Ttulo6"/>
        <w:jc w:val="both"/>
        <w:rPr>
          <w:rFonts w:ascii="Arial" w:eastAsia="Arial" w:hAnsi="Arial" w:cs="Arial"/>
          <w:sz w:val="24"/>
          <w:szCs w:val="24"/>
        </w:rPr>
      </w:pPr>
      <w:r>
        <w:rPr>
          <w:rFonts w:ascii="Arial" w:eastAsia="Arial" w:hAnsi="Arial" w:cs="Arial"/>
          <w:color w:val="916F41"/>
          <w:sz w:val="24"/>
          <w:szCs w:val="24"/>
        </w:rPr>
        <w:t>ARTÍCULO 36°. -</w:t>
      </w:r>
      <w:r>
        <w:rPr>
          <w:rFonts w:ascii="Arial" w:eastAsia="Arial" w:hAnsi="Arial" w:cs="Arial"/>
          <w:color w:val="062D60"/>
          <w:sz w:val="24"/>
          <w:szCs w:val="24"/>
        </w:rPr>
        <w:t xml:space="preserve"> </w:t>
      </w:r>
      <w:r>
        <w:rPr>
          <w:rFonts w:ascii="Arial" w:eastAsia="Arial" w:hAnsi="Arial" w:cs="Arial"/>
          <w:sz w:val="24"/>
          <w:szCs w:val="24"/>
        </w:rPr>
        <w:t>ARBITRAJE DE CONCIENCIA O DE DERECHO</w:t>
      </w:r>
    </w:p>
    <w:p w14:paraId="06AC2CB3" w14:textId="77777777" w:rsidR="00CD23AE" w:rsidRDefault="00127FFC">
      <w:pPr>
        <w:numPr>
          <w:ilvl w:val="0"/>
          <w:numId w:val="25"/>
        </w:numPr>
        <w:pBdr>
          <w:top w:val="nil"/>
          <w:left w:val="nil"/>
          <w:bottom w:val="nil"/>
          <w:right w:val="nil"/>
          <w:between w:val="nil"/>
        </w:pBdr>
        <w:tabs>
          <w:tab w:val="left" w:pos="815"/>
        </w:tabs>
        <w:spacing w:before="220" w:line="273" w:lineRule="auto"/>
        <w:ind w:right="168" w:firstLine="0"/>
        <w:jc w:val="both"/>
        <w:rPr>
          <w:rFonts w:ascii="Arial" w:eastAsia="Arial" w:hAnsi="Arial" w:cs="Arial"/>
          <w:color w:val="000000"/>
        </w:rPr>
      </w:pPr>
      <w:r>
        <w:rPr>
          <w:rFonts w:ascii="Arial" w:eastAsia="Arial" w:hAnsi="Arial" w:cs="Arial"/>
          <w:color w:val="000000"/>
        </w:rPr>
        <w:t>El arbitraje puede ser de conciencia o de derecho. Es de conciencia cuando los árbitros resuelven conforme a sus conocimientos sobre la materia y su sentido de equidad. Es de derecho cuando resuelven la materia controvertida con arreglo al derecho aplicable.</w:t>
      </w:r>
    </w:p>
    <w:p w14:paraId="163B7731" w14:textId="77777777" w:rsidR="00CD23AE" w:rsidRDefault="00127FFC">
      <w:pPr>
        <w:numPr>
          <w:ilvl w:val="0"/>
          <w:numId w:val="25"/>
        </w:numPr>
        <w:pBdr>
          <w:top w:val="nil"/>
          <w:left w:val="nil"/>
          <w:bottom w:val="nil"/>
          <w:right w:val="nil"/>
          <w:between w:val="nil"/>
        </w:pBdr>
        <w:tabs>
          <w:tab w:val="left" w:pos="811"/>
        </w:tabs>
        <w:spacing w:before="190" w:line="273" w:lineRule="auto"/>
        <w:ind w:right="169" w:firstLine="0"/>
        <w:jc w:val="both"/>
        <w:rPr>
          <w:rFonts w:ascii="Arial" w:eastAsia="Arial" w:hAnsi="Arial" w:cs="Arial"/>
          <w:color w:val="000000"/>
        </w:rPr>
      </w:pPr>
      <w:r>
        <w:rPr>
          <w:rFonts w:ascii="Arial" w:eastAsia="Arial" w:hAnsi="Arial" w:cs="Arial"/>
          <w:color w:val="000000"/>
        </w:rPr>
        <w:t>Las partes elegirán la clase de arbitraje. A falta de acuerdo o en caso de duda, se entenderá que el arbitraje es de derecho.</w:t>
      </w:r>
    </w:p>
    <w:p w14:paraId="02585411" w14:textId="77777777" w:rsidR="00CD23AE" w:rsidRDefault="00CD23AE">
      <w:pPr>
        <w:pBdr>
          <w:top w:val="nil"/>
          <w:left w:val="nil"/>
          <w:bottom w:val="nil"/>
          <w:right w:val="nil"/>
          <w:between w:val="nil"/>
        </w:pBdr>
        <w:spacing w:before="34"/>
        <w:jc w:val="both"/>
        <w:rPr>
          <w:rFonts w:ascii="Arial" w:eastAsia="Arial" w:hAnsi="Arial" w:cs="Arial"/>
          <w:color w:val="000000"/>
          <w:sz w:val="25"/>
          <w:szCs w:val="25"/>
        </w:rPr>
      </w:pPr>
    </w:p>
    <w:p w14:paraId="119DCBAC" w14:textId="77777777" w:rsidR="00CD23AE" w:rsidRDefault="00127FFC" w:rsidP="00756EE5">
      <w:pPr>
        <w:pStyle w:val="Ttulo6"/>
        <w:jc w:val="both"/>
        <w:rPr>
          <w:rFonts w:ascii="Arial" w:eastAsia="Arial" w:hAnsi="Arial" w:cs="Arial"/>
          <w:sz w:val="28"/>
          <w:szCs w:val="28"/>
        </w:rPr>
      </w:pPr>
      <w:r>
        <w:rPr>
          <w:rFonts w:ascii="Arial" w:eastAsia="Arial" w:hAnsi="Arial" w:cs="Arial"/>
          <w:color w:val="916F41"/>
          <w:sz w:val="28"/>
          <w:szCs w:val="28"/>
        </w:rPr>
        <w:t>ARTÍCULO 37°. -</w:t>
      </w:r>
      <w:r>
        <w:rPr>
          <w:rFonts w:ascii="Arial" w:eastAsia="Arial" w:hAnsi="Arial" w:cs="Arial"/>
          <w:color w:val="062D60"/>
          <w:sz w:val="28"/>
          <w:szCs w:val="28"/>
        </w:rPr>
        <w:t xml:space="preserve"> </w:t>
      </w:r>
      <w:r>
        <w:rPr>
          <w:rFonts w:ascii="Arial" w:eastAsia="Arial" w:hAnsi="Arial" w:cs="Arial"/>
          <w:sz w:val="28"/>
          <w:szCs w:val="28"/>
        </w:rPr>
        <w:t>RENUNCIA A OBJETAR</w:t>
      </w:r>
    </w:p>
    <w:p w14:paraId="6D9B4180" w14:textId="77777777" w:rsidR="00CD23AE" w:rsidRDefault="00127FFC">
      <w:pPr>
        <w:pBdr>
          <w:top w:val="nil"/>
          <w:left w:val="nil"/>
          <w:bottom w:val="nil"/>
          <w:right w:val="nil"/>
          <w:between w:val="nil"/>
        </w:pBdr>
        <w:spacing w:before="220" w:line="273" w:lineRule="auto"/>
        <w:ind w:left="511" w:right="168"/>
        <w:jc w:val="both"/>
        <w:rPr>
          <w:rFonts w:ascii="Arial" w:eastAsia="Arial" w:hAnsi="Arial" w:cs="Arial"/>
          <w:color w:val="000000"/>
        </w:rPr>
      </w:pPr>
      <w:r>
        <w:rPr>
          <w:rFonts w:ascii="Arial" w:eastAsia="Arial" w:hAnsi="Arial" w:cs="Arial"/>
          <w:color w:val="000000"/>
        </w:rPr>
        <w:t>Si una parte que conociendo o debiendo conocer que no se ha observado o se ha infringido una norma, regla o disposición del convenio arbitral, acuerdo de las partes, de este Reglamento o del Tribunal Arbitral, prosigue con el arbitraje y no objeta su incumplimiento dentro del plazo de cinco (5) días hábiles de conocido éste, se entenderá que renuncia a formular una objeción por dichas circunstancias.</w:t>
      </w:r>
    </w:p>
    <w:p w14:paraId="782CCF4C" w14:textId="77777777" w:rsidR="00CD23AE" w:rsidRDefault="00CD23AE">
      <w:pPr>
        <w:pBdr>
          <w:top w:val="nil"/>
          <w:left w:val="nil"/>
          <w:bottom w:val="nil"/>
          <w:right w:val="nil"/>
          <w:between w:val="nil"/>
        </w:pBdr>
        <w:spacing w:before="29"/>
        <w:jc w:val="both"/>
        <w:rPr>
          <w:rFonts w:ascii="Arial" w:eastAsia="Arial" w:hAnsi="Arial" w:cs="Arial"/>
          <w:color w:val="000000"/>
          <w:sz w:val="25"/>
          <w:szCs w:val="25"/>
        </w:rPr>
      </w:pPr>
    </w:p>
    <w:p w14:paraId="6A1983ED" w14:textId="77777777" w:rsidR="00CD23AE" w:rsidRDefault="00127FFC">
      <w:pPr>
        <w:pStyle w:val="Ttulo6"/>
        <w:ind w:left="511"/>
        <w:jc w:val="both"/>
        <w:rPr>
          <w:rFonts w:ascii="Arial" w:eastAsia="Arial" w:hAnsi="Arial" w:cs="Arial"/>
          <w:sz w:val="28"/>
          <w:szCs w:val="28"/>
        </w:rPr>
      </w:pPr>
      <w:r>
        <w:rPr>
          <w:rFonts w:ascii="Arial" w:eastAsia="Arial" w:hAnsi="Arial" w:cs="Arial"/>
          <w:color w:val="916F41"/>
          <w:sz w:val="28"/>
          <w:szCs w:val="28"/>
        </w:rPr>
        <w:t>ARTÍCULO 38°. -</w:t>
      </w:r>
      <w:r>
        <w:rPr>
          <w:rFonts w:ascii="Arial" w:eastAsia="Arial" w:hAnsi="Arial" w:cs="Arial"/>
          <w:color w:val="062D60"/>
          <w:sz w:val="28"/>
          <w:szCs w:val="28"/>
        </w:rPr>
        <w:t xml:space="preserve"> </w:t>
      </w:r>
      <w:r>
        <w:rPr>
          <w:rFonts w:ascii="Arial" w:eastAsia="Arial" w:hAnsi="Arial" w:cs="Arial"/>
          <w:sz w:val="28"/>
          <w:szCs w:val="28"/>
        </w:rPr>
        <w:t>CONFIDENCIALIDAD</w:t>
      </w:r>
    </w:p>
    <w:p w14:paraId="6FE71BE6" w14:textId="77777777" w:rsidR="00CD23AE" w:rsidRDefault="00127FFC">
      <w:pPr>
        <w:numPr>
          <w:ilvl w:val="0"/>
          <w:numId w:val="24"/>
        </w:numPr>
        <w:pBdr>
          <w:top w:val="nil"/>
          <w:left w:val="nil"/>
          <w:bottom w:val="nil"/>
          <w:right w:val="nil"/>
          <w:between w:val="nil"/>
        </w:pBdr>
        <w:tabs>
          <w:tab w:val="left" w:pos="767"/>
        </w:tabs>
        <w:spacing w:before="284" w:line="273" w:lineRule="auto"/>
        <w:ind w:left="767" w:hanging="285"/>
        <w:jc w:val="both"/>
        <w:rPr>
          <w:rFonts w:ascii="Arial" w:eastAsia="Arial" w:hAnsi="Arial" w:cs="Arial"/>
          <w:color w:val="000000"/>
        </w:rPr>
      </w:pPr>
      <w:r>
        <w:rPr>
          <w:rFonts w:ascii="Arial" w:eastAsia="Arial" w:hAnsi="Arial" w:cs="Arial"/>
          <w:color w:val="000000"/>
        </w:rPr>
        <w:t>Las actuaciones arbitrales son confidenciales. Los árbitros, funcionarios del Centro, los miembros del Consejo Superior de Arbitraje, peritos, las partes, sus representantes legales, sus asesores, abogados, o cualquier persona que haya intervenido en las actuaciones arbitrales, se encuentran obligados a guardar reserva de la información relacionada con el proceso arbitral, incluido el laudo.</w:t>
      </w:r>
    </w:p>
    <w:p w14:paraId="1026299D" w14:textId="77777777" w:rsidR="00CD23AE" w:rsidRDefault="00127FFC">
      <w:pPr>
        <w:numPr>
          <w:ilvl w:val="0"/>
          <w:numId w:val="24"/>
        </w:numPr>
        <w:pBdr>
          <w:top w:val="nil"/>
          <w:left w:val="nil"/>
          <w:bottom w:val="nil"/>
          <w:right w:val="nil"/>
          <w:between w:val="nil"/>
        </w:pBdr>
        <w:tabs>
          <w:tab w:val="left" w:pos="767"/>
        </w:tabs>
        <w:spacing w:before="284" w:line="273" w:lineRule="auto"/>
        <w:ind w:left="767" w:hanging="285"/>
        <w:jc w:val="both"/>
        <w:rPr>
          <w:rFonts w:ascii="Arial" w:eastAsia="Arial" w:hAnsi="Arial" w:cs="Arial"/>
          <w:color w:val="000000"/>
        </w:rPr>
      </w:pPr>
      <w:r>
        <w:rPr>
          <w:rFonts w:ascii="Arial" w:eastAsia="Arial" w:hAnsi="Arial" w:cs="Arial"/>
          <w:color w:val="000000"/>
        </w:rPr>
        <w:t>No rige esta prohibición en los siguientes supuestos:</w:t>
      </w:r>
    </w:p>
    <w:p w14:paraId="2317249C" w14:textId="77777777" w:rsidR="00CD23AE" w:rsidRDefault="00127FFC" w:rsidP="00756EE5">
      <w:pPr>
        <w:numPr>
          <w:ilvl w:val="0"/>
          <w:numId w:val="66"/>
        </w:numPr>
        <w:pBdr>
          <w:top w:val="nil"/>
          <w:left w:val="nil"/>
          <w:bottom w:val="nil"/>
          <w:right w:val="nil"/>
          <w:between w:val="nil"/>
        </w:pBdr>
        <w:tabs>
          <w:tab w:val="left" w:pos="767"/>
        </w:tabs>
        <w:spacing w:before="20" w:line="274" w:lineRule="auto"/>
        <w:ind w:left="1485" w:hanging="357"/>
        <w:jc w:val="both"/>
        <w:rPr>
          <w:rFonts w:ascii="Arial" w:eastAsia="Arial" w:hAnsi="Arial" w:cs="Arial"/>
          <w:color w:val="000000"/>
        </w:rPr>
      </w:pPr>
      <w:r>
        <w:rPr>
          <w:rFonts w:ascii="Arial" w:eastAsia="Arial" w:hAnsi="Arial" w:cs="Arial"/>
          <w:color w:val="000000"/>
        </w:rPr>
        <w:t>Si ambas partes han autorizado expresamente su divulgación o uso.</w:t>
      </w:r>
    </w:p>
    <w:p w14:paraId="49E42D78" w14:textId="77777777" w:rsidR="00CD23AE" w:rsidRDefault="00127FFC" w:rsidP="00756EE5">
      <w:pPr>
        <w:numPr>
          <w:ilvl w:val="0"/>
          <w:numId w:val="66"/>
        </w:numPr>
        <w:pBdr>
          <w:top w:val="nil"/>
          <w:left w:val="nil"/>
          <w:bottom w:val="nil"/>
          <w:right w:val="nil"/>
          <w:between w:val="nil"/>
        </w:pBdr>
        <w:tabs>
          <w:tab w:val="left" w:pos="767"/>
        </w:tabs>
        <w:spacing w:before="20" w:line="274" w:lineRule="auto"/>
        <w:ind w:left="1485" w:hanging="357"/>
        <w:jc w:val="both"/>
        <w:rPr>
          <w:rFonts w:ascii="Arial" w:eastAsia="Arial" w:hAnsi="Arial" w:cs="Arial"/>
          <w:color w:val="000000"/>
        </w:rPr>
      </w:pPr>
      <w:r>
        <w:rPr>
          <w:rFonts w:ascii="Arial" w:eastAsia="Arial" w:hAnsi="Arial" w:cs="Arial"/>
          <w:color w:val="000000"/>
        </w:rPr>
        <w:t>Cuando sea necesario hacer pública la información por exigencia legal.</w:t>
      </w:r>
    </w:p>
    <w:p w14:paraId="51B1224B" w14:textId="77777777" w:rsidR="00CD23AE" w:rsidRDefault="00127FFC" w:rsidP="00756EE5">
      <w:pPr>
        <w:numPr>
          <w:ilvl w:val="0"/>
          <w:numId w:val="66"/>
        </w:numPr>
        <w:pBdr>
          <w:top w:val="nil"/>
          <w:left w:val="nil"/>
          <w:bottom w:val="nil"/>
          <w:right w:val="nil"/>
          <w:between w:val="nil"/>
        </w:pBdr>
        <w:tabs>
          <w:tab w:val="left" w:pos="767"/>
        </w:tabs>
        <w:spacing w:before="20" w:line="274" w:lineRule="auto"/>
        <w:ind w:left="1485" w:hanging="357"/>
        <w:jc w:val="both"/>
        <w:rPr>
          <w:rFonts w:ascii="Arial" w:eastAsia="Arial" w:hAnsi="Arial" w:cs="Arial"/>
          <w:color w:val="000000"/>
        </w:rPr>
      </w:pPr>
      <w:r>
        <w:rPr>
          <w:rFonts w:ascii="Arial" w:eastAsia="Arial" w:hAnsi="Arial" w:cs="Arial"/>
          <w:color w:val="000000"/>
        </w:rPr>
        <w:t>En caso de ejecución o de interposición del recurso de anulación de laudo.</w:t>
      </w:r>
    </w:p>
    <w:p w14:paraId="137D7EF3" w14:textId="77777777" w:rsidR="00CD23AE" w:rsidRDefault="00127FFC" w:rsidP="00756EE5">
      <w:pPr>
        <w:numPr>
          <w:ilvl w:val="0"/>
          <w:numId w:val="66"/>
        </w:numPr>
        <w:pBdr>
          <w:top w:val="nil"/>
          <w:left w:val="nil"/>
          <w:bottom w:val="nil"/>
          <w:right w:val="nil"/>
          <w:between w:val="nil"/>
        </w:pBdr>
        <w:tabs>
          <w:tab w:val="left" w:pos="767"/>
        </w:tabs>
        <w:spacing w:before="20" w:line="274" w:lineRule="auto"/>
        <w:ind w:left="1485" w:hanging="357"/>
        <w:jc w:val="both"/>
        <w:rPr>
          <w:rFonts w:ascii="Arial" w:eastAsia="Arial" w:hAnsi="Arial" w:cs="Arial"/>
          <w:color w:val="000000"/>
        </w:rPr>
      </w:pPr>
      <w:r>
        <w:rPr>
          <w:rFonts w:ascii="Arial" w:eastAsia="Arial" w:hAnsi="Arial" w:cs="Arial"/>
          <w:color w:val="000000"/>
        </w:rPr>
        <w:t>Cuando un órgano jurisdiccional o autoridades pertinentes, dentro del ámbito de su competencia, soliciten información al Centro o al tribunal arbitral.</w:t>
      </w:r>
    </w:p>
    <w:p w14:paraId="507BF2BD" w14:textId="4B740F26" w:rsidR="00CD23AE" w:rsidRDefault="00127FFC">
      <w:pPr>
        <w:numPr>
          <w:ilvl w:val="0"/>
          <w:numId w:val="24"/>
        </w:numPr>
        <w:pBdr>
          <w:top w:val="nil"/>
          <w:left w:val="nil"/>
          <w:bottom w:val="nil"/>
          <w:right w:val="nil"/>
          <w:between w:val="nil"/>
        </w:pBdr>
        <w:tabs>
          <w:tab w:val="left" w:pos="798"/>
        </w:tabs>
        <w:spacing w:before="192" w:line="273" w:lineRule="auto"/>
        <w:ind w:left="482" w:right="197" w:firstLine="0"/>
        <w:jc w:val="both"/>
        <w:rPr>
          <w:rFonts w:ascii="Arial" w:eastAsia="Arial" w:hAnsi="Arial" w:cs="Arial"/>
          <w:color w:val="000000"/>
        </w:rPr>
      </w:pPr>
      <w:r>
        <w:rPr>
          <w:rFonts w:ascii="Arial" w:eastAsia="Arial" w:hAnsi="Arial" w:cs="Arial"/>
          <w:color w:val="000000"/>
        </w:rPr>
        <w:t>La inobservancia de la confidencialidad será sancionada por el Consejo Superior de Arbitraje, de acuerdo con el Código de Ética.</w:t>
      </w:r>
    </w:p>
    <w:p w14:paraId="3E760FA7" w14:textId="77777777" w:rsidR="00756EE5" w:rsidRDefault="00756EE5" w:rsidP="00756EE5">
      <w:pPr>
        <w:pBdr>
          <w:top w:val="nil"/>
          <w:left w:val="nil"/>
          <w:bottom w:val="nil"/>
          <w:right w:val="nil"/>
          <w:between w:val="nil"/>
        </w:pBdr>
        <w:tabs>
          <w:tab w:val="left" w:pos="798"/>
        </w:tabs>
        <w:spacing w:before="192" w:line="273" w:lineRule="auto"/>
        <w:ind w:left="482" w:right="197"/>
        <w:jc w:val="both"/>
        <w:rPr>
          <w:rFonts w:ascii="Arial" w:eastAsia="Arial" w:hAnsi="Arial" w:cs="Arial"/>
          <w:color w:val="000000"/>
        </w:rPr>
      </w:pPr>
    </w:p>
    <w:p w14:paraId="3E1C1AEC" w14:textId="77777777" w:rsidR="00CD23AE" w:rsidRDefault="00127FFC">
      <w:pPr>
        <w:numPr>
          <w:ilvl w:val="0"/>
          <w:numId w:val="24"/>
        </w:numPr>
        <w:pBdr>
          <w:top w:val="nil"/>
          <w:left w:val="nil"/>
          <w:bottom w:val="nil"/>
          <w:right w:val="nil"/>
          <w:between w:val="nil"/>
        </w:pBdr>
        <w:tabs>
          <w:tab w:val="left" w:pos="792"/>
        </w:tabs>
        <w:spacing w:before="192" w:line="273" w:lineRule="auto"/>
        <w:ind w:left="459" w:right="220" w:firstLine="0"/>
        <w:jc w:val="both"/>
        <w:rPr>
          <w:rFonts w:ascii="Arial" w:eastAsia="Arial" w:hAnsi="Arial" w:cs="Arial"/>
          <w:color w:val="000000"/>
        </w:rPr>
      </w:pPr>
      <w:r>
        <w:rPr>
          <w:rFonts w:ascii="Arial" w:eastAsia="Arial" w:hAnsi="Arial" w:cs="Arial"/>
          <w:color w:val="000000"/>
        </w:rPr>
        <w:lastRenderedPageBreak/>
        <w:t>En el caso que sean las partes, sus representantes, abogados, asesores, peritos, expertos, o su personal dependiente o independiente quienes hayan incumplido con el deber de confidencialidad, el Consejo Superior de Arbitraje podrá, a pedido de parte, del Tribunal Arbitral o de oficio, imponer una multa a la parte que considere responsable a favor de la otra, sin perjuicio de las acciones legales que pueda iniciar la parte agraviada contra el infractor.</w:t>
      </w:r>
    </w:p>
    <w:p w14:paraId="5741968A" w14:textId="77777777" w:rsidR="00CD23AE" w:rsidRDefault="00127FFC">
      <w:pPr>
        <w:numPr>
          <w:ilvl w:val="0"/>
          <w:numId w:val="24"/>
        </w:numPr>
        <w:pBdr>
          <w:top w:val="nil"/>
          <w:left w:val="nil"/>
          <w:bottom w:val="nil"/>
          <w:right w:val="nil"/>
          <w:between w:val="nil"/>
        </w:pBdr>
        <w:tabs>
          <w:tab w:val="left" w:pos="831"/>
        </w:tabs>
        <w:spacing w:before="186" w:line="273" w:lineRule="auto"/>
        <w:ind w:left="482" w:right="197" w:firstLine="0"/>
        <w:jc w:val="both"/>
        <w:rPr>
          <w:rFonts w:ascii="Arial" w:eastAsia="Arial" w:hAnsi="Arial" w:cs="Arial"/>
          <w:color w:val="000000"/>
        </w:rPr>
      </w:pPr>
      <w:r>
        <w:rPr>
          <w:rFonts w:ascii="Arial" w:eastAsia="Arial" w:hAnsi="Arial" w:cs="Arial"/>
          <w:color w:val="000000"/>
        </w:rPr>
        <w:t>En caso la multa no sea pagada dentro del plazo establecido por el Consejo Superior de Arbitraje, la parte interesada deberá exigir su cumplimiento ante el órgano jurisdiccional competente.</w:t>
      </w:r>
    </w:p>
    <w:p w14:paraId="0A391EED" w14:textId="77777777" w:rsidR="00CD23AE" w:rsidRDefault="00127FFC">
      <w:pPr>
        <w:numPr>
          <w:ilvl w:val="0"/>
          <w:numId w:val="24"/>
        </w:numPr>
        <w:pBdr>
          <w:top w:val="nil"/>
          <w:left w:val="nil"/>
          <w:bottom w:val="nil"/>
          <w:right w:val="nil"/>
          <w:between w:val="nil"/>
        </w:pBdr>
        <w:tabs>
          <w:tab w:val="left" w:pos="811"/>
        </w:tabs>
        <w:spacing w:before="191" w:line="273" w:lineRule="auto"/>
        <w:ind w:left="482" w:right="197" w:firstLine="0"/>
        <w:jc w:val="both"/>
        <w:rPr>
          <w:rFonts w:ascii="Arial" w:eastAsia="Arial" w:hAnsi="Arial" w:cs="Arial"/>
          <w:color w:val="000000"/>
        </w:rPr>
      </w:pPr>
      <w:r>
        <w:rPr>
          <w:rFonts w:ascii="Arial" w:eastAsia="Arial" w:hAnsi="Arial" w:cs="Arial"/>
          <w:color w:val="000000"/>
        </w:rPr>
        <w:t>Los terceros ajenos están impedidos de tener acceso a las actuaciones arbitrales, salvo autorización de ambas partes. Sin embargo, el Tribunal Arbitral puede autorizarlo, de mediar causa justificada. En este caso, los terceros deberán cumplir con las normas de confidencialidad establecidas en el presente Reglamento, quedando sujetos a las sanciones que ese contemple.</w:t>
      </w:r>
    </w:p>
    <w:p w14:paraId="4C642810" w14:textId="77777777" w:rsidR="00CD23AE" w:rsidRDefault="00127FFC">
      <w:pPr>
        <w:numPr>
          <w:ilvl w:val="0"/>
          <w:numId w:val="24"/>
        </w:numPr>
        <w:pBdr>
          <w:top w:val="nil"/>
          <w:left w:val="nil"/>
          <w:bottom w:val="nil"/>
          <w:right w:val="nil"/>
          <w:between w:val="nil"/>
        </w:pBdr>
        <w:tabs>
          <w:tab w:val="left" w:pos="827"/>
        </w:tabs>
        <w:spacing w:before="187" w:line="273" w:lineRule="auto"/>
        <w:ind w:left="511" w:right="168" w:firstLine="0"/>
        <w:jc w:val="both"/>
        <w:rPr>
          <w:rFonts w:ascii="Arial" w:eastAsia="Arial" w:hAnsi="Arial" w:cs="Arial"/>
          <w:color w:val="000000"/>
        </w:rPr>
      </w:pPr>
      <w:r>
        <w:rPr>
          <w:rFonts w:ascii="Arial" w:eastAsia="Arial" w:hAnsi="Arial" w:cs="Arial"/>
          <w:color w:val="000000"/>
        </w:rPr>
        <w:t>No habrá infracción a la confidencialidad en el supuesto señalado en el artículo 62° y en lo estipulado en la Décima Disposición Complementaria y Final del Reglamento.</w:t>
      </w:r>
    </w:p>
    <w:p w14:paraId="3961CFF8" w14:textId="77777777" w:rsidR="00CD23AE" w:rsidRDefault="00127FFC">
      <w:pPr>
        <w:numPr>
          <w:ilvl w:val="0"/>
          <w:numId w:val="24"/>
        </w:numPr>
        <w:pBdr>
          <w:top w:val="nil"/>
          <w:left w:val="nil"/>
          <w:bottom w:val="nil"/>
          <w:right w:val="nil"/>
          <w:between w:val="nil"/>
        </w:pBdr>
        <w:tabs>
          <w:tab w:val="left" w:pos="865"/>
        </w:tabs>
        <w:spacing w:before="274" w:line="273" w:lineRule="auto"/>
        <w:ind w:left="511" w:right="168" w:firstLine="0"/>
        <w:jc w:val="both"/>
        <w:rPr>
          <w:rFonts w:ascii="Arial" w:eastAsia="Arial" w:hAnsi="Arial" w:cs="Arial"/>
          <w:color w:val="000000"/>
        </w:rPr>
      </w:pPr>
      <w:bookmarkStart w:id="9" w:name="_heading=h.3y7mkgo9f2vf" w:colFirst="0" w:colLast="0"/>
      <w:bookmarkEnd w:id="9"/>
      <w:r>
        <w:rPr>
          <w:rFonts w:ascii="Arial" w:eastAsia="Arial" w:hAnsi="Arial" w:cs="Arial"/>
          <w:color w:val="000000"/>
        </w:rPr>
        <w:t>Si una de las partes procesales, debidamente apersonada al arbitraje, desea acceder a la revisión del expediente en físico, la parte interesada deberá contactarse con el Secretario General en aras de agendar una cita en fecha que no podrá exceder de cinco (05) días hábiles, computado a partir del día hábil siguiente de la comunicación realizada con Secretaría General. Esto se debe realizar de conformidad con lo señalado en la Nota Práctica vigente, donde, además, se dispondrá el horario de atención para revisión y visualización de expedientes, previa coordinación.</w:t>
      </w:r>
    </w:p>
    <w:p w14:paraId="787434FB" w14:textId="77777777" w:rsidR="00CD23AE" w:rsidRDefault="00127FFC" w:rsidP="00756EE5">
      <w:pPr>
        <w:pStyle w:val="Ttulo6"/>
        <w:spacing w:before="275"/>
        <w:jc w:val="both"/>
        <w:rPr>
          <w:rFonts w:ascii="Arial" w:eastAsia="Arial" w:hAnsi="Arial" w:cs="Arial"/>
          <w:sz w:val="24"/>
          <w:szCs w:val="24"/>
        </w:rPr>
      </w:pPr>
      <w:r>
        <w:rPr>
          <w:rFonts w:ascii="Arial" w:eastAsia="Arial" w:hAnsi="Arial" w:cs="Arial"/>
          <w:color w:val="916F41"/>
          <w:sz w:val="24"/>
          <w:szCs w:val="24"/>
        </w:rPr>
        <w:t xml:space="preserve">ARTÍCULO 39°. - </w:t>
      </w:r>
      <w:r>
        <w:rPr>
          <w:rFonts w:ascii="Arial" w:eastAsia="Arial" w:hAnsi="Arial" w:cs="Arial"/>
          <w:sz w:val="24"/>
          <w:szCs w:val="24"/>
        </w:rPr>
        <w:t>RESERVA DE INFORMACIÓN CONFIDENCIAL</w:t>
      </w:r>
    </w:p>
    <w:p w14:paraId="1D2183DC" w14:textId="77777777" w:rsidR="00CD23AE" w:rsidRDefault="00127FFC">
      <w:pPr>
        <w:numPr>
          <w:ilvl w:val="0"/>
          <w:numId w:val="22"/>
        </w:numPr>
        <w:pBdr>
          <w:top w:val="nil"/>
          <w:left w:val="nil"/>
          <w:bottom w:val="nil"/>
          <w:right w:val="nil"/>
          <w:between w:val="nil"/>
        </w:pBdr>
        <w:tabs>
          <w:tab w:val="left" w:pos="775"/>
        </w:tabs>
        <w:spacing w:before="160" w:line="273" w:lineRule="auto"/>
        <w:ind w:left="482" w:right="197" w:firstLine="0"/>
        <w:jc w:val="both"/>
        <w:rPr>
          <w:rFonts w:ascii="Arial" w:eastAsia="Arial" w:hAnsi="Arial" w:cs="Arial"/>
          <w:color w:val="000000"/>
        </w:rPr>
      </w:pPr>
      <w:r>
        <w:rPr>
          <w:rFonts w:ascii="Arial" w:eastAsia="Arial" w:hAnsi="Arial" w:cs="Arial"/>
          <w:color w:val="000000"/>
        </w:rPr>
        <w:t>Se entenderá como información confidencial reservada a aquella que esté en posesión de una de las partes en el proceso y que cumpla con los siguientes requisitos:</w:t>
      </w:r>
    </w:p>
    <w:p w14:paraId="29CC605F" w14:textId="77777777" w:rsidR="00CD23AE" w:rsidRDefault="00127FFC">
      <w:pPr>
        <w:numPr>
          <w:ilvl w:val="0"/>
          <w:numId w:val="68"/>
        </w:numPr>
        <w:pBdr>
          <w:top w:val="nil"/>
          <w:left w:val="nil"/>
          <w:bottom w:val="nil"/>
          <w:right w:val="nil"/>
          <w:between w:val="nil"/>
        </w:pBdr>
        <w:tabs>
          <w:tab w:val="left" w:pos="775"/>
        </w:tabs>
        <w:spacing w:before="160" w:line="273" w:lineRule="auto"/>
        <w:ind w:right="197"/>
        <w:jc w:val="both"/>
        <w:rPr>
          <w:rFonts w:ascii="Arial" w:eastAsia="Arial" w:hAnsi="Arial" w:cs="Arial"/>
          <w:color w:val="000000"/>
        </w:rPr>
      </w:pPr>
      <w:r>
        <w:rPr>
          <w:rFonts w:ascii="Arial" w:eastAsia="Arial" w:hAnsi="Arial" w:cs="Arial"/>
          <w:color w:val="000000"/>
        </w:rPr>
        <w:t>Cuando por su naturaleza comercial, financiera o industrial no sea accesible al público.</w:t>
      </w:r>
    </w:p>
    <w:p w14:paraId="2099E100" w14:textId="77777777" w:rsidR="00CD23AE" w:rsidRDefault="00127FFC">
      <w:pPr>
        <w:numPr>
          <w:ilvl w:val="0"/>
          <w:numId w:val="68"/>
        </w:numPr>
        <w:pBdr>
          <w:top w:val="nil"/>
          <w:left w:val="nil"/>
          <w:bottom w:val="nil"/>
          <w:right w:val="nil"/>
          <w:between w:val="nil"/>
        </w:pBdr>
        <w:tabs>
          <w:tab w:val="left" w:pos="775"/>
        </w:tabs>
        <w:spacing w:before="160" w:line="273" w:lineRule="auto"/>
        <w:ind w:right="197"/>
        <w:jc w:val="both"/>
        <w:rPr>
          <w:rFonts w:ascii="Arial" w:eastAsia="Arial" w:hAnsi="Arial" w:cs="Arial"/>
          <w:color w:val="000000"/>
        </w:rPr>
      </w:pPr>
      <w:r>
        <w:rPr>
          <w:rFonts w:ascii="Arial" w:eastAsia="Arial" w:hAnsi="Arial" w:cs="Arial"/>
          <w:color w:val="000000"/>
        </w:rPr>
        <w:t>Cuando es tratada como confidencial por la parte que la posee.</w:t>
      </w:r>
    </w:p>
    <w:p w14:paraId="4A59713A" w14:textId="77777777" w:rsidR="00CD23AE" w:rsidRDefault="00127FFC">
      <w:pPr>
        <w:numPr>
          <w:ilvl w:val="0"/>
          <w:numId w:val="22"/>
        </w:numPr>
        <w:pBdr>
          <w:top w:val="nil"/>
          <w:left w:val="nil"/>
          <w:bottom w:val="nil"/>
          <w:right w:val="nil"/>
          <w:between w:val="nil"/>
        </w:pBdr>
        <w:tabs>
          <w:tab w:val="left" w:pos="907"/>
        </w:tabs>
        <w:spacing w:before="176" w:line="273" w:lineRule="auto"/>
        <w:ind w:left="482" w:right="197" w:firstLine="0"/>
        <w:jc w:val="both"/>
        <w:rPr>
          <w:rFonts w:ascii="Arial" w:eastAsia="Arial" w:hAnsi="Arial" w:cs="Arial"/>
          <w:color w:val="000000"/>
        </w:rPr>
      </w:pPr>
      <w:r>
        <w:rPr>
          <w:rFonts w:ascii="Arial" w:eastAsia="Arial" w:hAnsi="Arial" w:cs="Arial"/>
          <w:color w:val="000000"/>
        </w:rPr>
        <w:t>Los árbitros, a pedido de parte, podrán calificar a determinada información como confidencial y/o reservada. En este caso, establecerán si se puede dar a conocer en todo o en parte dicha información a la contraparte, peritos o testigos, fijando en qué condiciones podrá transmitirla.</w:t>
      </w:r>
    </w:p>
    <w:p w14:paraId="645988B2" w14:textId="77777777" w:rsidR="00CD23AE" w:rsidRDefault="00127FFC">
      <w:pPr>
        <w:numPr>
          <w:ilvl w:val="0"/>
          <w:numId w:val="22"/>
        </w:numPr>
        <w:pBdr>
          <w:top w:val="nil"/>
          <w:left w:val="nil"/>
          <w:bottom w:val="nil"/>
          <w:right w:val="nil"/>
          <w:between w:val="nil"/>
        </w:pBdr>
        <w:tabs>
          <w:tab w:val="left" w:pos="844"/>
        </w:tabs>
        <w:spacing w:before="129" w:line="273" w:lineRule="auto"/>
        <w:ind w:left="511" w:right="168" w:firstLine="0"/>
        <w:jc w:val="both"/>
        <w:rPr>
          <w:rFonts w:ascii="Arial" w:eastAsia="Arial" w:hAnsi="Arial" w:cs="Arial"/>
          <w:color w:val="000000"/>
        </w:rPr>
      </w:pPr>
      <w:r>
        <w:rPr>
          <w:rFonts w:ascii="Arial" w:eastAsia="Arial" w:hAnsi="Arial" w:cs="Arial"/>
          <w:color w:val="000000"/>
        </w:rPr>
        <w:t>Los árbitros están facultados para tomar las acciones pertinentes que conduzcan a proteger la información confidencial de las partes.</w:t>
      </w:r>
    </w:p>
    <w:p w14:paraId="59DE1191" w14:textId="77777777" w:rsidR="00CD23AE" w:rsidRDefault="00CD23AE">
      <w:pPr>
        <w:pBdr>
          <w:top w:val="nil"/>
          <w:left w:val="nil"/>
          <w:bottom w:val="nil"/>
          <w:right w:val="nil"/>
          <w:between w:val="nil"/>
        </w:pBdr>
        <w:tabs>
          <w:tab w:val="left" w:pos="844"/>
        </w:tabs>
        <w:spacing w:before="129" w:line="273" w:lineRule="auto"/>
        <w:ind w:left="483" w:right="168"/>
        <w:jc w:val="both"/>
        <w:rPr>
          <w:rFonts w:ascii="Arial" w:eastAsia="Arial" w:hAnsi="Arial" w:cs="Arial"/>
        </w:rPr>
      </w:pPr>
    </w:p>
    <w:p w14:paraId="3754E003" w14:textId="77777777" w:rsidR="00CD23AE" w:rsidRDefault="00127FFC" w:rsidP="00756EE5">
      <w:pPr>
        <w:pStyle w:val="Ttulo2"/>
        <w:jc w:val="both"/>
        <w:rPr>
          <w:rFonts w:ascii="Arial" w:eastAsia="Arial" w:hAnsi="Arial" w:cs="Arial"/>
          <w:b/>
          <w:color w:val="E80303"/>
          <w:sz w:val="26"/>
          <w:szCs w:val="26"/>
        </w:rPr>
      </w:pPr>
      <w:r>
        <w:rPr>
          <w:rFonts w:ascii="Arial" w:eastAsia="Arial" w:hAnsi="Arial" w:cs="Arial"/>
          <w:b/>
          <w:color w:val="E80303"/>
          <w:sz w:val="26"/>
          <w:szCs w:val="26"/>
        </w:rPr>
        <w:t>CAPÍTULO II: TRÁMITE DE LAS ACTUACIONES ARBITRALES</w:t>
      </w:r>
    </w:p>
    <w:p w14:paraId="4E22A1FD" w14:textId="77777777" w:rsidR="00CD23AE" w:rsidRDefault="00127FFC" w:rsidP="00756EE5">
      <w:pPr>
        <w:pStyle w:val="Ttulo6"/>
        <w:spacing w:before="213"/>
        <w:jc w:val="both"/>
        <w:rPr>
          <w:rFonts w:ascii="Arial" w:eastAsia="Arial" w:hAnsi="Arial" w:cs="Arial"/>
          <w:sz w:val="24"/>
          <w:szCs w:val="24"/>
        </w:rPr>
      </w:pPr>
      <w:r>
        <w:rPr>
          <w:rFonts w:ascii="Arial" w:eastAsia="Arial" w:hAnsi="Arial" w:cs="Arial"/>
          <w:color w:val="916F41"/>
          <w:sz w:val="24"/>
          <w:szCs w:val="24"/>
        </w:rPr>
        <w:t xml:space="preserve">ARTÍCULO 40°. - </w:t>
      </w:r>
      <w:r>
        <w:rPr>
          <w:rFonts w:ascii="Arial" w:eastAsia="Arial" w:hAnsi="Arial" w:cs="Arial"/>
          <w:sz w:val="24"/>
          <w:szCs w:val="24"/>
        </w:rPr>
        <w:t>FACULTADES DE LOS ÁRBITROS</w:t>
      </w:r>
    </w:p>
    <w:p w14:paraId="21AD4B04" w14:textId="77777777" w:rsidR="00CD23AE" w:rsidRDefault="00127FFC">
      <w:pPr>
        <w:numPr>
          <w:ilvl w:val="0"/>
          <w:numId w:val="21"/>
        </w:numPr>
        <w:pBdr>
          <w:top w:val="nil"/>
          <w:left w:val="nil"/>
          <w:bottom w:val="nil"/>
          <w:right w:val="nil"/>
          <w:between w:val="nil"/>
        </w:pBdr>
        <w:tabs>
          <w:tab w:val="left" w:pos="810"/>
        </w:tabs>
        <w:spacing w:before="160" w:line="273" w:lineRule="auto"/>
        <w:ind w:left="482" w:right="197" w:firstLine="0"/>
        <w:jc w:val="both"/>
        <w:rPr>
          <w:rFonts w:ascii="Arial" w:eastAsia="Arial" w:hAnsi="Arial" w:cs="Arial"/>
          <w:color w:val="000000"/>
        </w:rPr>
      </w:pPr>
      <w:r>
        <w:rPr>
          <w:rFonts w:ascii="Arial" w:eastAsia="Arial" w:hAnsi="Arial" w:cs="Arial"/>
        </w:rPr>
        <w:t>Los árbitros podrán dirigir las actuaciones arbitrales del mo</w:t>
      </w:r>
      <w:r>
        <w:rPr>
          <w:rFonts w:ascii="Arial" w:eastAsia="Arial" w:hAnsi="Arial" w:cs="Arial"/>
          <w:color w:val="000000"/>
        </w:rPr>
        <w:t>do que consideren apropiado, sujetándose a lo previsto en este Reglamento.</w:t>
      </w:r>
    </w:p>
    <w:p w14:paraId="1023A5B5" w14:textId="77777777" w:rsidR="00CD23AE" w:rsidRDefault="00127FFC">
      <w:pPr>
        <w:numPr>
          <w:ilvl w:val="0"/>
          <w:numId w:val="21"/>
        </w:numPr>
        <w:pBdr>
          <w:top w:val="nil"/>
          <w:left w:val="nil"/>
          <w:bottom w:val="nil"/>
          <w:right w:val="nil"/>
          <w:between w:val="nil"/>
        </w:pBdr>
        <w:tabs>
          <w:tab w:val="left" w:pos="774"/>
        </w:tabs>
        <w:spacing w:before="164" w:line="273" w:lineRule="auto"/>
        <w:ind w:left="482" w:right="197" w:firstLine="0"/>
        <w:jc w:val="both"/>
        <w:rPr>
          <w:rFonts w:ascii="Arial" w:eastAsia="Arial" w:hAnsi="Arial" w:cs="Arial"/>
          <w:color w:val="000000"/>
        </w:rPr>
      </w:pPr>
      <w:r>
        <w:rPr>
          <w:rFonts w:ascii="Arial" w:eastAsia="Arial" w:hAnsi="Arial" w:cs="Arial"/>
          <w:color w:val="000000"/>
        </w:rPr>
        <w:t>De existir algún hecho que no haya sido regulado por el Reglamento, los árbitros aplicarán la Ley de Arbitraje, los principios referidos para las actuaciones arbitrales y, en su defecto, reglas que permitan el desarrollo eficiente de las actuaciones.</w:t>
      </w:r>
    </w:p>
    <w:p w14:paraId="4298CEA5" w14:textId="77777777" w:rsidR="00CD23AE" w:rsidRDefault="00127FFC">
      <w:pPr>
        <w:numPr>
          <w:ilvl w:val="0"/>
          <w:numId w:val="21"/>
        </w:numPr>
        <w:pBdr>
          <w:top w:val="nil"/>
          <w:left w:val="nil"/>
          <w:bottom w:val="nil"/>
          <w:right w:val="nil"/>
          <w:between w:val="nil"/>
        </w:pBdr>
        <w:tabs>
          <w:tab w:val="left" w:pos="900"/>
        </w:tabs>
        <w:spacing w:before="162" w:line="273" w:lineRule="auto"/>
        <w:ind w:left="482" w:right="197" w:firstLine="0"/>
        <w:jc w:val="both"/>
        <w:rPr>
          <w:rFonts w:ascii="Arial" w:eastAsia="Arial" w:hAnsi="Arial" w:cs="Arial"/>
          <w:color w:val="000000"/>
        </w:rPr>
      </w:pPr>
      <w:r>
        <w:rPr>
          <w:rFonts w:ascii="Arial" w:eastAsia="Arial" w:hAnsi="Arial" w:cs="Arial"/>
          <w:color w:val="000000"/>
        </w:rPr>
        <w:t xml:space="preserve">Los árbitros son competentes para conocer y resolver todas las cuestiones subsidiarias, conexas, accesorias o incidentales que se promuevan durante las actuaciones arbitrales, así como </w:t>
      </w:r>
      <w:r>
        <w:rPr>
          <w:rFonts w:ascii="Arial" w:eastAsia="Arial" w:hAnsi="Arial" w:cs="Arial"/>
          <w:color w:val="000000"/>
        </w:rPr>
        <w:lastRenderedPageBreak/>
        <w:t>aquellas cuya sustanciación en sede arbitral haya sido consentida por las partes en el arbitraje.</w:t>
      </w:r>
    </w:p>
    <w:p w14:paraId="7B3C6B20" w14:textId="77777777" w:rsidR="00CD23AE" w:rsidRDefault="00127FFC">
      <w:pPr>
        <w:numPr>
          <w:ilvl w:val="0"/>
          <w:numId w:val="21"/>
        </w:numPr>
        <w:pBdr>
          <w:top w:val="nil"/>
          <w:left w:val="nil"/>
          <w:bottom w:val="nil"/>
          <w:right w:val="nil"/>
          <w:between w:val="nil"/>
        </w:pBdr>
        <w:tabs>
          <w:tab w:val="left" w:pos="827"/>
        </w:tabs>
        <w:spacing w:before="201" w:line="273" w:lineRule="auto"/>
        <w:ind w:left="482" w:right="197" w:firstLine="0"/>
        <w:jc w:val="both"/>
        <w:rPr>
          <w:rFonts w:ascii="Arial" w:eastAsia="Arial" w:hAnsi="Arial" w:cs="Arial"/>
          <w:color w:val="000000"/>
        </w:rPr>
      </w:pPr>
      <w:r>
        <w:rPr>
          <w:rFonts w:ascii="Arial" w:eastAsia="Arial" w:hAnsi="Arial" w:cs="Arial"/>
          <w:color w:val="000000"/>
        </w:rPr>
        <w:t>Los árbitros podrán, de acuerdo con su criterio, ampliar los plazos que ellos hayan establecido para las actuaciones arbitrales, incluso si estos plazos estuvieran vencidos.</w:t>
      </w:r>
    </w:p>
    <w:p w14:paraId="57E6AD00" w14:textId="77777777" w:rsidR="00CD23AE" w:rsidRDefault="00CD23AE">
      <w:pPr>
        <w:pBdr>
          <w:top w:val="nil"/>
          <w:left w:val="nil"/>
          <w:bottom w:val="nil"/>
          <w:right w:val="nil"/>
          <w:between w:val="nil"/>
        </w:pBdr>
        <w:spacing w:before="10"/>
        <w:jc w:val="both"/>
        <w:rPr>
          <w:rFonts w:ascii="Arial" w:eastAsia="Arial" w:hAnsi="Arial" w:cs="Arial"/>
          <w:color w:val="000000"/>
        </w:rPr>
      </w:pPr>
    </w:p>
    <w:p w14:paraId="4787B4F0" w14:textId="77777777" w:rsidR="00CD23AE" w:rsidRDefault="00127FFC" w:rsidP="00756EE5">
      <w:pPr>
        <w:pStyle w:val="Ttulo6"/>
        <w:jc w:val="both"/>
        <w:rPr>
          <w:rFonts w:ascii="Arial" w:eastAsia="Arial" w:hAnsi="Arial" w:cs="Arial"/>
          <w:sz w:val="24"/>
          <w:szCs w:val="24"/>
        </w:rPr>
      </w:pPr>
      <w:r>
        <w:rPr>
          <w:rFonts w:ascii="Arial" w:eastAsia="Arial" w:hAnsi="Arial" w:cs="Arial"/>
          <w:color w:val="916F41"/>
          <w:sz w:val="24"/>
          <w:szCs w:val="24"/>
        </w:rPr>
        <w:t xml:space="preserve">ARTÍCULO 41°. - </w:t>
      </w:r>
      <w:r>
        <w:rPr>
          <w:rFonts w:ascii="Arial" w:eastAsia="Arial" w:hAnsi="Arial" w:cs="Arial"/>
          <w:sz w:val="24"/>
          <w:szCs w:val="24"/>
        </w:rPr>
        <w:t>QUÓRUM Y MAYORÍA PARA RESOLVER</w:t>
      </w:r>
    </w:p>
    <w:p w14:paraId="3C353028" w14:textId="77777777" w:rsidR="00CD23AE" w:rsidRDefault="00127FFC">
      <w:pPr>
        <w:numPr>
          <w:ilvl w:val="0"/>
          <w:numId w:val="20"/>
        </w:numPr>
        <w:pBdr>
          <w:top w:val="nil"/>
          <w:left w:val="nil"/>
          <w:bottom w:val="nil"/>
          <w:right w:val="nil"/>
          <w:between w:val="nil"/>
        </w:pBdr>
        <w:tabs>
          <w:tab w:val="left" w:pos="718"/>
        </w:tabs>
        <w:spacing w:before="178" w:line="273" w:lineRule="auto"/>
        <w:ind w:left="482" w:right="197" w:firstLine="0"/>
        <w:jc w:val="both"/>
        <w:rPr>
          <w:rFonts w:ascii="Arial" w:eastAsia="Arial" w:hAnsi="Arial" w:cs="Arial"/>
          <w:color w:val="000000"/>
        </w:rPr>
      </w:pPr>
      <w:r>
        <w:rPr>
          <w:rFonts w:ascii="Arial" w:eastAsia="Arial" w:hAnsi="Arial" w:cs="Arial"/>
          <w:color w:val="000000"/>
        </w:rPr>
        <w:t>Toda decisión se adopta por mayoría. Los árbitros están obligados a votar en todas las decisiones. De no hacerlo, se considera que se adhieren a lo decidido por la mayoría o a lo decidido por el presidente, según corresponda.</w:t>
      </w:r>
    </w:p>
    <w:p w14:paraId="5F85479F" w14:textId="77777777" w:rsidR="00CD23AE" w:rsidRDefault="00127FFC">
      <w:pPr>
        <w:numPr>
          <w:ilvl w:val="0"/>
          <w:numId w:val="20"/>
        </w:numPr>
        <w:pBdr>
          <w:top w:val="nil"/>
          <w:left w:val="nil"/>
          <w:bottom w:val="nil"/>
          <w:right w:val="nil"/>
          <w:between w:val="nil"/>
        </w:pBdr>
        <w:tabs>
          <w:tab w:val="left" w:pos="866"/>
        </w:tabs>
        <w:spacing w:before="144" w:line="273" w:lineRule="auto"/>
        <w:ind w:left="482" w:right="197" w:firstLine="0"/>
        <w:jc w:val="both"/>
        <w:rPr>
          <w:rFonts w:ascii="Arial" w:eastAsia="Arial" w:hAnsi="Arial" w:cs="Arial"/>
          <w:color w:val="000000"/>
        </w:rPr>
      </w:pPr>
      <w:r>
        <w:rPr>
          <w:rFonts w:ascii="Arial" w:eastAsia="Arial" w:hAnsi="Arial" w:cs="Arial"/>
          <w:color w:val="000000"/>
        </w:rPr>
        <w:t>En casos de empate, el presidente del tribunal arbitral tiene voto dirimente; asimismo, de no existir mayoría, su voto es el que decide.</w:t>
      </w:r>
    </w:p>
    <w:p w14:paraId="1719777B" w14:textId="77777777" w:rsidR="00CD23AE" w:rsidRDefault="00127FFC">
      <w:pPr>
        <w:numPr>
          <w:ilvl w:val="0"/>
          <w:numId w:val="20"/>
        </w:numPr>
        <w:pBdr>
          <w:top w:val="nil"/>
          <w:left w:val="nil"/>
          <w:bottom w:val="nil"/>
          <w:right w:val="nil"/>
          <w:between w:val="nil"/>
        </w:pBdr>
        <w:tabs>
          <w:tab w:val="left" w:pos="767"/>
        </w:tabs>
        <w:spacing w:before="184"/>
        <w:ind w:left="767" w:hanging="285"/>
        <w:jc w:val="both"/>
        <w:rPr>
          <w:rFonts w:ascii="Arial" w:eastAsia="Arial" w:hAnsi="Arial" w:cs="Arial"/>
          <w:color w:val="000000"/>
        </w:rPr>
      </w:pPr>
      <w:r>
        <w:rPr>
          <w:rFonts w:ascii="Arial" w:eastAsia="Arial" w:hAnsi="Arial" w:cs="Arial"/>
          <w:color w:val="000000"/>
        </w:rPr>
        <w:t>Las deliberaciones del tribunal arbitral colegiado son confidenciales.</w:t>
      </w:r>
    </w:p>
    <w:p w14:paraId="47095F8F" w14:textId="77777777" w:rsidR="00CD23AE" w:rsidRDefault="00CD23AE">
      <w:pPr>
        <w:pBdr>
          <w:top w:val="nil"/>
          <w:left w:val="nil"/>
          <w:bottom w:val="nil"/>
          <w:right w:val="nil"/>
          <w:between w:val="nil"/>
        </w:pBdr>
        <w:spacing w:before="48"/>
        <w:jc w:val="both"/>
        <w:rPr>
          <w:rFonts w:ascii="Arial" w:eastAsia="Arial" w:hAnsi="Arial" w:cs="Arial"/>
          <w:color w:val="000000"/>
        </w:rPr>
      </w:pPr>
    </w:p>
    <w:p w14:paraId="4DA3BB6D" w14:textId="77777777" w:rsidR="00CD23AE" w:rsidRDefault="00127FFC" w:rsidP="00756EE5">
      <w:pPr>
        <w:pStyle w:val="Ttulo6"/>
        <w:jc w:val="both"/>
        <w:rPr>
          <w:rFonts w:ascii="Arial" w:eastAsia="Arial" w:hAnsi="Arial" w:cs="Arial"/>
          <w:sz w:val="24"/>
          <w:szCs w:val="24"/>
        </w:rPr>
      </w:pPr>
      <w:r>
        <w:rPr>
          <w:rFonts w:ascii="Arial" w:eastAsia="Arial" w:hAnsi="Arial" w:cs="Arial"/>
          <w:color w:val="916F41"/>
          <w:sz w:val="24"/>
          <w:szCs w:val="24"/>
        </w:rPr>
        <w:t xml:space="preserve">ARTÍCULO 42°. - </w:t>
      </w:r>
      <w:r>
        <w:rPr>
          <w:rFonts w:ascii="Arial" w:eastAsia="Arial" w:hAnsi="Arial" w:cs="Arial"/>
          <w:sz w:val="24"/>
          <w:szCs w:val="24"/>
        </w:rPr>
        <w:t>RECONSIDERACIÓN</w:t>
      </w:r>
    </w:p>
    <w:p w14:paraId="1D5A3392" w14:textId="77777777" w:rsidR="00CD23AE" w:rsidRDefault="00127FFC">
      <w:pPr>
        <w:numPr>
          <w:ilvl w:val="0"/>
          <w:numId w:val="19"/>
        </w:numPr>
        <w:pBdr>
          <w:top w:val="nil"/>
          <w:left w:val="nil"/>
          <w:bottom w:val="nil"/>
          <w:right w:val="nil"/>
          <w:between w:val="nil"/>
        </w:pBdr>
        <w:tabs>
          <w:tab w:val="left" w:pos="742"/>
        </w:tabs>
        <w:spacing w:before="205" w:line="273" w:lineRule="auto"/>
        <w:ind w:left="482" w:right="197" w:firstLine="0"/>
        <w:jc w:val="both"/>
        <w:rPr>
          <w:rFonts w:ascii="Arial" w:eastAsia="Arial" w:hAnsi="Arial" w:cs="Arial"/>
          <w:color w:val="000000"/>
        </w:rPr>
      </w:pPr>
      <w:r>
        <w:rPr>
          <w:rFonts w:ascii="Arial" w:eastAsia="Arial" w:hAnsi="Arial" w:cs="Arial"/>
          <w:color w:val="000000"/>
        </w:rPr>
        <w:t>Contra las decisiones distintas al laudo sólo procede la interposición del recurso de reconsideración ante los propios árbitros, dentro de los tres (3) días hábiles siguientes de notificada la decisión. Los árbitros pueden reconsiderar de oficio sus decisiones.</w:t>
      </w:r>
    </w:p>
    <w:p w14:paraId="28791BE4" w14:textId="77777777" w:rsidR="00CD23AE" w:rsidRDefault="00127FFC">
      <w:pPr>
        <w:numPr>
          <w:ilvl w:val="0"/>
          <w:numId w:val="19"/>
        </w:numPr>
        <w:pBdr>
          <w:top w:val="nil"/>
          <w:left w:val="nil"/>
          <w:bottom w:val="nil"/>
          <w:right w:val="nil"/>
          <w:between w:val="nil"/>
        </w:pBdr>
        <w:tabs>
          <w:tab w:val="left" w:pos="800"/>
        </w:tabs>
        <w:spacing w:before="174" w:line="273" w:lineRule="auto"/>
        <w:ind w:left="482" w:right="197" w:firstLine="0"/>
        <w:jc w:val="both"/>
        <w:rPr>
          <w:rFonts w:ascii="Arial" w:eastAsia="Arial" w:hAnsi="Arial" w:cs="Arial"/>
          <w:color w:val="000000"/>
        </w:rPr>
      </w:pPr>
      <w:r>
        <w:rPr>
          <w:rFonts w:ascii="Arial" w:eastAsia="Arial" w:hAnsi="Arial" w:cs="Arial"/>
          <w:color w:val="000000"/>
        </w:rPr>
        <w:t>Antes de resolver, los árbitros podrán correr traslado del recurso a la parte contraria, si lo consideran conveniente. La decisión de los árbitros es definitiva e inimpugnable.</w:t>
      </w:r>
    </w:p>
    <w:p w14:paraId="492FC7FA" w14:textId="77777777" w:rsidR="00CD23AE" w:rsidRDefault="00127FFC">
      <w:pPr>
        <w:numPr>
          <w:ilvl w:val="0"/>
          <w:numId w:val="19"/>
        </w:numPr>
        <w:pBdr>
          <w:top w:val="nil"/>
          <w:left w:val="nil"/>
          <w:bottom w:val="nil"/>
          <w:right w:val="nil"/>
          <w:between w:val="nil"/>
        </w:pBdr>
        <w:tabs>
          <w:tab w:val="left" w:pos="800"/>
        </w:tabs>
        <w:spacing w:before="174" w:line="273" w:lineRule="auto"/>
        <w:ind w:left="482" w:right="197" w:firstLine="0"/>
        <w:jc w:val="both"/>
        <w:rPr>
          <w:rFonts w:ascii="Arial" w:eastAsia="Arial" w:hAnsi="Arial" w:cs="Arial"/>
          <w:color w:val="000000"/>
        </w:rPr>
      </w:pPr>
      <w:r>
        <w:rPr>
          <w:rFonts w:ascii="Arial" w:eastAsia="Arial" w:hAnsi="Arial" w:cs="Arial"/>
          <w:color w:val="000000"/>
        </w:rPr>
        <w:t>El recurso no suspende la ejecución de la resolución impugnada, salvo decisión distinta de los árbitros.</w:t>
      </w:r>
    </w:p>
    <w:p w14:paraId="4917ACF8" w14:textId="77777777" w:rsidR="00CD23AE" w:rsidRDefault="00127FFC">
      <w:pPr>
        <w:numPr>
          <w:ilvl w:val="0"/>
          <w:numId w:val="19"/>
        </w:numPr>
        <w:pBdr>
          <w:top w:val="nil"/>
          <w:left w:val="nil"/>
          <w:bottom w:val="nil"/>
          <w:right w:val="nil"/>
          <w:between w:val="nil"/>
        </w:pBdr>
        <w:tabs>
          <w:tab w:val="left" w:pos="836"/>
        </w:tabs>
        <w:spacing w:before="177" w:line="273" w:lineRule="auto"/>
        <w:ind w:left="482" w:right="197" w:firstLine="0"/>
        <w:jc w:val="both"/>
        <w:rPr>
          <w:rFonts w:ascii="Arial" w:eastAsia="Arial" w:hAnsi="Arial" w:cs="Arial"/>
          <w:color w:val="000000"/>
        </w:rPr>
      </w:pPr>
      <w:r>
        <w:rPr>
          <w:rFonts w:ascii="Arial" w:eastAsia="Arial" w:hAnsi="Arial" w:cs="Arial"/>
          <w:color w:val="000000"/>
        </w:rPr>
        <w:t>La decisión que resuelve el recurso de reconsideración es definitiva e inimpugnable.</w:t>
      </w:r>
    </w:p>
    <w:p w14:paraId="2C537632" w14:textId="77777777" w:rsidR="00CD23AE" w:rsidRDefault="00127FFC" w:rsidP="00756EE5">
      <w:pPr>
        <w:pStyle w:val="Ttulo6"/>
        <w:spacing w:before="188" w:line="268" w:lineRule="auto"/>
        <w:ind w:right="197"/>
        <w:jc w:val="both"/>
        <w:rPr>
          <w:rFonts w:ascii="Arial" w:eastAsia="Arial" w:hAnsi="Arial" w:cs="Arial"/>
          <w:sz w:val="24"/>
          <w:szCs w:val="24"/>
        </w:rPr>
      </w:pPr>
      <w:r>
        <w:rPr>
          <w:rFonts w:ascii="Arial" w:eastAsia="Arial" w:hAnsi="Arial" w:cs="Arial"/>
          <w:color w:val="916F41"/>
          <w:sz w:val="24"/>
          <w:szCs w:val="24"/>
        </w:rPr>
        <w:t>ARTÍCULO 43°. -</w:t>
      </w:r>
      <w:r>
        <w:rPr>
          <w:rFonts w:ascii="Arial" w:eastAsia="Arial" w:hAnsi="Arial" w:cs="Arial"/>
          <w:sz w:val="24"/>
          <w:szCs w:val="24"/>
        </w:rPr>
        <w:t xml:space="preserve"> DETERMINACIÓN DE LAS REGLAS APLICABLES A LAS ACTUACIONES ARBITRALES</w:t>
      </w:r>
    </w:p>
    <w:p w14:paraId="68AB8BD9" w14:textId="52435441" w:rsidR="00CD23AE" w:rsidRPr="00756EE5" w:rsidRDefault="00127FFC" w:rsidP="00756EE5">
      <w:pPr>
        <w:pBdr>
          <w:top w:val="nil"/>
          <w:left w:val="nil"/>
          <w:bottom w:val="nil"/>
          <w:right w:val="nil"/>
          <w:between w:val="nil"/>
        </w:pBdr>
        <w:spacing w:before="206" w:line="273" w:lineRule="auto"/>
        <w:ind w:left="482" w:right="197"/>
        <w:jc w:val="both"/>
        <w:rPr>
          <w:rFonts w:ascii="Arial" w:eastAsia="Arial" w:hAnsi="Arial" w:cs="Arial"/>
          <w:color w:val="000000"/>
        </w:rPr>
      </w:pPr>
      <w:r>
        <w:rPr>
          <w:rFonts w:ascii="Arial" w:eastAsia="Arial" w:hAnsi="Arial" w:cs="Arial"/>
          <w:color w:val="000000"/>
        </w:rPr>
        <w:t>Producida la constitución del tribunal arbitral, se les informará a las partes este hecho, pudiendo el Tribunal Arbitral fijar las reglas procesales a través de audiencia de Instalación en acto único o en su defecto a través de una orden procesal, en cuyo último caso se otorga a las partes un plazo de cinco (5) días hábiles de notificadas para que de existir alguna propuesta de modificación a las reglas aplicables lo informen de manera conjunta. En caso no exista pronunciamiento de las partes se considera aprobada la propuesta del Tribunal Arbitral, procediendo a fijarse las reglas definitivas aplicables al arbitraje. En dicho acto, la Secretaría General designará al Secretario Arbitral a cargo de un arbitraje en particular, pudiendo cambiar al mismo en cualquier etapa del procedimiento arbitral.</w:t>
      </w:r>
    </w:p>
    <w:p w14:paraId="1820EF6F" w14:textId="77777777" w:rsidR="00CD23AE" w:rsidRDefault="00127FFC" w:rsidP="00756EE5">
      <w:pPr>
        <w:pStyle w:val="Ttulo6"/>
        <w:spacing w:before="268"/>
        <w:jc w:val="both"/>
        <w:rPr>
          <w:rFonts w:ascii="Arial" w:eastAsia="Arial" w:hAnsi="Arial" w:cs="Arial"/>
          <w:sz w:val="24"/>
          <w:szCs w:val="24"/>
        </w:rPr>
      </w:pPr>
      <w:r>
        <w:rPr>
          <w:rFonts w:ascii="Arial" w:eastAsia="Arial" w:hAnsi="Arial" w:cs="Arial"/>
          <w:color w:val="916F41"/>
          <w:sz w:val="24"/>
          <w:szCs w:val="24"/>
        </w:rPr>
        <w:t xml:space="preserve">ARTÍCULO 44°. - </w:t>
      </w:r>
      <w:r>
        <w:rPr>
          <w:rFonts w:ascii="Arial" w:eastAsia="Arial" w:hAnsi="Arial" w:cs="Arial"/>
          <w:sz w:val="24"/>
          <w:szCs w:val="24"/>
        </w:rPr>
        <w:t>DEMANDA, RECONVENCIÓN Y CONTESTACIONES</w:t>
      </w:r>
    </w:p>
    <w:p w14:paraId="428E2282" w14:textId="77777777" w:rsidR="00CD23AE" w:rsidRDefault="00127FFC">
      <w:pPr>
        <w:pBdr>
          <w:top w:val="nil"/>
          <w:left w:val="nil"/>
          <w:bottom w:val="nil"/>
          <w:right w:val="nil"/>
          <w:between w:val="nil"/>
        </w:pBdr>
        <w:spacing w:before="235" w:line="273" w:lineRule="auto"/>
        <w:ind w:left="482"/>
        <w:jc w:val="both"/>
        <w:rPr>
          <w:rFonts w:ascii="Arial" w:eastAsia="Arial" w:hAnsi="Arial" w:cs="Arial"/>
          <w:color w:val="000000"/>
        </w:rPr>
      </w:pPr>
      <w:r>
        <w:rPr>
          <w:rFonts w:ascii="Arial" w:eastAsia="Arial" w:hAnsi="Arial" w:cs="Arial"/>
          <w:color w:val="000000"/>
        </w:rPr>
        <w:t>Salvo acuerdo de partes, la presentación de la demanda, su contestación, la reconvención y su contestación, se regirán por las siguientes reglas:</w:t>
      </w:r>
    </w:p>
    <w:p w14:paraId="61CE9D02" w14:textId="7C04329A" w:rsidR="00CD23AE" w:rsidRDefault="00127FFC">
      <w:pPr>
        <w:numPr>
          <w:ilvl w:val="0"/>
          <w:numId w:val="18"/>
        </w:numPr>
        <w:pBdr>
          <w:top w:val="nil"/>
          <w:left w:val="nil"/>
          <w:bottom w:val="nil"/>
          <w:right w:val="nil"/>
          <w:between w:val="nil"/>
        </w:pBdr>
        <w:tabs>
          <w:tab w:val="left" w:pos="744"/>
        </w:tabs>
        <w:spacing w:before="207" w:line="273" w:lineRule="auto"/>
        <w:ind w:left="482" w:right="198" w:firstLine="0"/>
        <w:jc w:val="both"/>
        <w:rPr>
          <w:rFonts w:ascii="Arial" w:eastAsia="Arial" w:hAnsi="Arial" w:cs="Arial"/>
          <w:color w:val="000000"/>
        </w:rPr>
      </w:pPr>
      <w:r>
        <w:rPr>
          <w:rFonts w:ascii="Arial" w:eastAsia="Arial" w:hAnsi="Arial" w:cs="Arial"/>
          <w:color w:val="000000"/>
        </w:rPr>
        <w:t>Dentro de los diez (10) días hábiles de notificadas las reglas aplicables a las partes, se presentará la demanda.</w:t>
      </w:r>
    </w:p>
    <w:p w14:paraId="48163ADA" w14:textId="17DC8F3F" w:rsidR="00756EE5" w:rsidRDefault="00756EE5" w:rsidP="00756EE5">
      <w:pPr>
        <w:pBdr>
          <w:top w:val="nil"/>
          <w:left w:val="nil"/>
          <w:bottom w:val="nil"/>
          <w:right w:val="nil"/>
          <w:between w:val="nil"/>
        </w:pBdr>
        <w:tabs>
          <w:tab w:val="left" w:pos="744"/>
        </w:tabs>
        <w:spacing w:before="207" w:line="273" w:lineRule="auto"/>
        <w:ind w:right="198"/>
        <w:jc w:val="both"/>
        <w:rPr>
          <w:rFonts w:ascii="Arial" w:eastAsia="Arial" w:hAnsi="Arial" w:cs="Arial"/>
          <w:color w:val="000000"/>
        </w:rPr>
      </w:pPr>
    </w:p>
    <w:p w14:paraId="03701365" w14:textId="77777777" w:rsidR="00756EE5" w:rsidRDefault="00756EE5" w:rsidP="00756EE5">
      <w:pPr>
        <w:pBdr>
          <w:top w:val="nil"/>
          <w:left w:val="nil"/>
          <w:bottom w:val="nil"/>
          <w:right w:val="nil"/>
          <w:between w:val="nil"/>
        </w:pBdr>
        <w:tabs>
          <w:tab w:val="left" w:pos="744"/>
        </w:tabs>
        <w:spacing w:before="207" w:line="273" w:lineRule="auto"/>
        <w:ind w:right="198"/>
        <w:jc w:val="both"/>
        <w:rPr>
          <w:rFonts w:ascii="Arial" w:eastAsia="Arial" w:hAnsi="Arial" w:cs="Arial"/>
          <w:color w:val="000000"/>
        </w:rPr>
      </w:pPr>
    </w:p>
    <w:p w14:paraId="4E6A3004" w14:textId="77777777" w:rsidR="00CD23AE" w:rsidRDefault="00127FFC">
      <w:pPr>
        <w:numPr>
          <w:ilvl w:val="0"/>
          <w:numId w:val="18"/>
        </w:numPr>
        <w:pBdr>
          <w:top w:val="nil"/>
          <w:left w:val="nil"/>
          <w:bottom w:val="nil"/>
          <w:right w:val="nil"/>
          <w:between w:val="nil"/>
        </w:pBdr>
        <w:tabs>
          <w:tab w:val="left" w:pos="837"/>
        </w:tabs>
        <w:spacing w:before="207" w:line="273" w:lineRule="auto"/>
        <w:ind w:left="482" w:right="197" w:firstLine="0"/>
        <w:jc w:val="both"/>
        <w:rPr>
          <w:rFonts w:ascii="Arial" w:eastAsia="Arial" w:hAnsi="Arial" w:cs="Arial"/>
          <w:color w:val="000000"/>
        </w:rPr>
      </w:pPr>
      <w:r>
        <w:rPr>
          <w:rFonts w:ascii="Arial" w:eastAsia="Arial" w:hAnsi="Arial" w:cs="Arial"/>
          <w:color w:val="000000"/>
        </w:rPr>
        <w:lastRenderedPageBreak/>
        <w:t>En caso la parte demandante no presente su demanda, los árbitros otorgarán la posibilidad a la parte demandada para que en igual plazo y de considerarlo conveniente, presente alguna pretensión contra la parte demandante, sin que esta última pueda formular reconvención. De no hacerlo se dará por concluido el arbitraje, disponiendo su archivo, sin perjuicio que la parte demandante pueda presentar nuevamente la solicitud respectiva, de ser el caso.</w:t>
      </w:r>
    </w:p>
    <w:p w14:paraId="5AC0DE92" w14:textId="77777777" w:rsidR="00CD23AE" w:rsidRDefault="00127FFC">
      <w:pPr>
        <w:numPr>
          <w:ilvl w:val="0"/>
          <w:numId w:val="18"/>
        </w:numPr>
        <w:pBdr>
          <w:top w:val="nil"/>
          <w:left w:val="nil"/>
          <w:bottom w:val="nil"/>
          <w:right w:val="nil"/>
          <w:between w:val="nil"/>
        </w:pBdr>
        <w:tabs>
          <w:tab w:val="left" w:pos="806"/>
        </w:tabs>
        <w:spacing w:before="201" w:line="273" w:lineRule="auto"/>
        <w:ind w:left="482" w:right="197" w:firstLine="0"/>
        <w:jc w:val="both"/>
        <w:rPr>
          <w:rFonts w:ascii="Arial" w:eastAsia="Arial" w:hAnsi="Arial" w:cs="Arial"/>
          <w:color w:val="000000"/>
        </w:rPr>
      </w:pPr>
      <w:r>
        <w:rPr>
          <w:rFonts w:ascii="Arial" w:eastAsia="Arial" w:hAnsi="Arial" w:cs="Arial"/>
          <w:color w:val="000000"/>
        </w:rPr>
        <w:t>Las pruebas deberán ser ofrecidas en la demanda, reconvención y sus contestaciones, sin perjuicio de lo establecido en el artículo 48° del presente Reglamento. Al ofrecer las pruebas, las partes deberán indicar el hecho o situación que se pretende probar con ésta.</w:t>
      </w:r>
    </w:p>
    <w:p w14:paraId="34276E11" w14:textId="77777777" w:rsidR="00CD23AE" w:rsidRDefault="00127FFC">
      <w:pPr>
        <w:numPr>
          <w:ilvl w:val="0"/>
          <w:numId w:val="18"/>
        </w:numPr>
        <w:pBdr>
          <w:top w:val="nil"/>
          <w:left w:val="nil"/>
          <w:bottom w:val="nil"/>
          <w:right w:val="nil"/>
          <w:between w:val="nil"/>
        </w:pBdr>
        <w:tabs>
          <w:tab w:val="left" w:pos="897"/>
        </w:tabs>
        <w:spacing w:before="205" w:line="273" w:lineRule="auto"/>
        <w:ind w:left="482" w:right="197" w:firstLine="0"/>
        <w:jc w:val="both"/>
        <w:rPr>
          <w:rFonts w:ascii="Arial" w:eastAsia="Arial" w:hAnsi="Arial" w:cs="Arial"/>
          <w:color w:val="000000"/>
        </w:rPr>
      </w:pPr>
      <w:r>
        <w:rPr>
          <w:rFonts w:ascii="Arial" w:eastAsia="Arial" w:hAnsi="Arial" w:cs="Arial"/>
          <w:color w:val="000000"/>
        </w:rPr>
        <w:t>Dentro de los diez (10) días hábiles de notificada la demanda, el demandado la contestará y formulará reconvención, de ser el caso. De haberse planteado ésta, se notificará a la parte demandante para que la conteste dentro de los diez (10) días hábiles de notificado.</w:t>
      </w:r>
    </w:p>
    <w:p w14:paraId="67B652A6" w14:textId="77777777" w:rsidR="00CD23AE" w:rsidRDefault="00127FFC">
      <w:pPr>
        <w:numPr>
          <w:ilvl w:val="0"/>
          <w:numId w:val="18"/>
        </w:numPr>
        <w:pBdr>
          <w:top w:val="nil"/>
          <w:left w:val="nil"/>
          <w:bottom w:val="nil"/>
          <w:right w:val="nil"/>
          <w:between w:val="nil"/>
        </w:pBdr>
        <w:tabs>
          <w:tab w:val="left" w:pos="768"/>
        </w:tabs>
        <w:spacing w:before="205" w:line="273" w:lineRule="auto"/>
        <w:ind w:left="482" w:right="197" w:firstLine="0"/>
        <w:jc w:val="both"/>
        <w:rPr>
          <w:rFonts w:ascii="Arial" w:eastAsia="Arial" w:hAnsi="Arial" w:cs="Arial"/>
          <w:color w:val="000000"/>
        </w:rPr>
      </w:pPr>
      <w:r>
        <w:rPr>
          <w:rFonts w:ascii="Arial" w:eastAsia="Arial" w:hAnsi="Arial" w:cs="Arial"/>
          <w:color w:val="000000"/>
        </w:rPr>
        <w:t>Si la parte demandada no cumple con contestar la demanda, los árbitros continuarán las actuaciones, sin que esta omisión se considere por sí misma una aceptación de las alegaciones de la contraria. La misma regla es aplicable a la contestación de la reconvención</w:t>
      </w:r>
    </w:p>
    <w:p w14:paraId="588D874A" w14:textId="77777777" w:rsidR="00CD23AE" w:rsidRDefault="00127FFC">
      <w:pPr>
        <w:numPr>
          <w:ilvl w:val="0"/>
          <w:numId w:val="18"/>
        </w:numPr>
        <w:pBdr>
          <w:top w:val="nil"/>
          <w:left w:val="nil"/>
          <w:bottom w:val="nil"/>
          <w:right w:val="nil"/>
          <w:between w:val="nil"/>
        </w:pBdr>
        <w:tabs>
          <w:tab w:val="left" w:pos="796"/>
        </w:tabs>
        <w:spacing w:before="205" w:line="273" w:lineRule="auto"/>
        <w:ind w:left="482" w:right="197" w:firstLine="0"/>
        <w:jc w:val="both"/>
        <w:rPr>
          <w:rFonts w:ascii="Arial" w:eastAsia="Arial" w:hAnsi="Arial" w:cs="Arial"/>
          <w:color w:val="000000"/>
        </w:rPr>
      </w:pPr>
      <w:r>
        <w:rPr>
          <w:rFonts w:ascii="Arial" w:eastAsia="Arial" w:hAnsi="Arial" w:cs="Arial"/>
          <w:color w:val="000000"/>
        </w:rPr>
        <w:t>Si las partes no cumplen con los requisitos establecidos en las reglas de las actuaciones arbitrales, los árbitros podrán otorgar un plazo razonable para su subsanación.</w:t>
      </w:r>
    </w:p>
    <w:p w14:paraId="34E5A1B0" w14:textId="77777777" w:rsidR="00756EE5" w:rsidRDefault="00756EE5" w:rsidP="00756EE5">
      <w:pPr>
        <w:pStyle w:val="Ttulo6"/>
        <w:spacing w:line="268" w:lineRule="auto"/>
        <w:jc w:val="both"/>
        <w:rPr>
          <w:rFonts w:ascii="Arial" w:eastAsia="Arial" w:hAnsi="Arial" w:cs="Arial"/>
          <w:color w:val="916F41"/>
          <w:sz w:val="24"/>
          <w:szCs w:val="24"/>
        </w:rPr>
      </w:pPr>
    </w:p>
    <w:p w14:paraId="3FA8FE55" w14:textId="7DA4C34F" w:rsidR="00CD23AE" w:rsidRDefault="00127FFC" w:rsidP="00756EE5">
      <w:pPr>
        <w:pStyle w:val="Ttulo6"/>
        <w:spacing w:line="268" w:lineRule="auto"/>
        <w:jc w:val="both"/>
        <w:rPr>
          <w:rFonts w:ascii="Arial" w:eastAsia="Arial" w:hAnsi="Arial" w:cs="Arial"/>
          <w:sz w:val="24"/>
          <w:szCs w:val="24"/>
        </w:rPr>
      </w:pPr>
      <w:r>
        <w:rPr>
          <w:rFonts w:ascii="Arial" w:eastAsia="Arial" w:hAnsi="Arial" w:cs="Arial"/>
          <w:color w:val="916F41"/>
          <w:sz w:val="24"/>
          <w:szCs w:val="24"/>
        </w:rPr>
        <w:t xml:space="preserve">ARTÍCULO 45°. - </w:t>
      </w:r>
      <w:r>
        <w:rPr>
          <w:rFonts w:ascii="Arial" w:eastAsia="Arial" w:hAnsi="Arial" w:cs="Arial"/>
          <w:sz w:val="24"/>
          <w:szCs w:val="24"/>
        </w:rPr>
        <w:t>REQUISITOS DE LOS ESCRITOS DE DEMANDA Y CONTESTACIÓN</w:t>
      </w:r>
    </w:p>
    <w:p w14:paraId="5131E0D7" w14:textId="77777777" w:rsidR="00CD23AE" w:rsidRDefault="00127FFC">
      <w:pPr>
        <w:numPr>
          <w:ilvl w:val="0"/>
          <w:numId w:val="17"/>
        </w:numPr>
        <w:pBdr>
          <w:top w:val="nil"/>
          <w:left w:val="nil"/>
          <w:bottom w:val="nil"/>
          <w:right w:val="nil"/>
          <w:between w:val="nil"/>
        </w:pBdr>
        <w:tabs>
          <w:tab w:val="left" w:pos="717"/>
        </w:tabs>
        <w:spacing w:before="198"/>
        <w:ind w:left="717" w:hanging="235"/>
        <w:jc w:val="both"/>
        <w:rPr>
          <w:rFonts w:ascii="Arial" w:eastAsia="Arial" w:hAnsi="Arial" w:cs="Arial"/>
          <w:color w:val="000000"/>
        </w:rPr>
      </w:pPr>
      <w:r>
        <w:rPr>
          <w:rFonts w:ascii="Arial" w:eastAsia="Arial" w:hAnsi="Arial" w:cs="Arial"/>
          <w:color w:val="000000"/>
        </w:rPr>
        <w:t>La demanda y su contestación contendrán:</w:t>
      </w:r>
    </w:p>
    <w:p w14:paraId="018B6968" w14:textId="77777777" w:rsidR="00CD23AE" w:rsidRDefault="00127FFC">
      <w:pPr>
        <w:numPr>
          <w:ilvl w:val="0"/>
          <w:numId w:val="69"/>
        </w:numPr>
        <w:pBdr>
          <w:top w:val="nil"/>
          <w:left w:val="nil"/>
          <w:bottom w:val="nil"/>
          <w:right w:val="nil"/>
          <w:between w:val="nil"/>
        </w:pBdr>
        <w:tabs>
          <w:tab w:val="left" w:pos="717"/>
        </w:tabs>
        <w:spacing w:before="198"/>
        <w:jc w:val="both"/>
        <w:rPr>
          <w:rFonts w:ascii="Arial" w:eastAsia="Arial" w:hAnsi="Arial" w:cs="Arial"/>
          <w:color w:val="000000"/>
        </w:rPr>
      </w:pPr>
      <w:r>
        <w:rPr>
          <w:rFonts w:ascii="Arial" w:eastAsia="Arial" w:hAnsi="Arial" w:cs="Arial"/>
          <w:color w:val="000000"/>
        </w:rPr>
        <w:t>Las pretensiones respectivas.</w:t>
      </w:r>
    </w:p>
    <w:p w14:paraId="5C577154" w14:textId="77777777" w:rsidR="00CD23AE" w:rsidRDefault="00127FFC">
      <w:pPr>
        <w:numPr>
          <w:ilvl w:val="0"/>
          <w:numId w:val="69"/>
        </w:numPr>
        <w:pBdr>
          <w:top w:val="nil"/>
          <w:left w:val="nil"/>
          <w:bottom w:val="nil"/>
          <w:right w:val="nil"/>
          <w:between w:val="nil"/>
        </w:pBdr>
        <w:tabs>
          <w:tab w:val="left" w:pos="717"/>
        </w:tabs>
        <w:spacing w:before="198"/>
        <w:jc w:val="both"/>
        <w:rPr>
          <w:rFonts w:ascii="Arial" w:eastAsia="Arial" w:hAnsi="Arial" w:cs="Arial"/>
          <w:color w:val="000000"/>
        </w:rPr>
      </w:pPr>
      <w:r>
        <w:rPr>
          <w:rFonts w:ascii="Arial" w:eastAsia="Arial" w:hAnsi="Arial" w:cs="Arial"/>
          <w:color w:val="000000"/>
        </w:rPr>
        <w:t>La relación de los hechos en que se basa la demanda o la contestación y los fundamentos de derecho, de ser el caso.</w:t>
      </w:r>
    </w:p>
    <w:p w14:paraId="21A38659" w14:textId="77777777" w:rsidR="00CD23AE" w:rsidRDefault="00127FFC">
      <w:pPr>
        <w:numPr>
          <w:ilvl w:val="0"/>
          <w:numId w:val="69"/>
        </w:numPr>
        <w:pBdr>
          <w:top w:val="nil"/>
          <w:left w:val="nil"/>
          <w:bottom w:val="nil"/>
          <w:right w:val="nil"/>
          <w:between w:val="nil"/>
        </w:pBdr>
        <w:tabs>
          <w:tab w:val="left" w:pos="717"/>
        </w:tabs>
        <w:spacing w:before="198"/>
        <w:jc w:val="both"/>
        <w:rPr>
          <w:rFonts w:ascii="Arial" w:eastAsia="Arial" w:hAnsi="Arial" w:cs="Arial"/>
          <w:color w:val="000000"/>
        </w:rPr>
      </w:pPr>
      <w:r>
        <w:rPr>
          <w:rFonts w:ascii="Arial" w:eastAsia="Arial" w:hAnsi="Arial" w:cs="Arial"/>
          <w:color w:val="000000"/>
        </w:rPr>
        <w:t>La indicación de la cuantía de la controversia.</w:t>
      </w:r>
    </w:p>
    <w:p w14:paraId="1965D9AE" w14:textId="77777777" w:rsidR="00CD23AE" w:rsidRDefault="00127FFC">
      <w:pPr>
        <w:numPr>
          <w:ilvl w:val="0"/>
          <w:numId w:val="69"/>
        </w:numPr>
        <w:pBdr>
          <w:top w:val="nil"/>
          <w:left w:val="nil"/>
          <w:bottom w:val="nil"/>
          <w:right w:val="nil"/>
          <w:between w:val="nil"/>
        </w:pBdr>
        <w:tabs>
          <w:tab w:val="left" w:pos="717"/>
        </w:tabs>
        <w:spacing w:before="198"/>
        <w:jc w:val="both"/>
        <w:rPr>
          <w:rFonts w:ascii="Arial" w:eastAsia="Arial" w:hAnsi="Arial" w:cs="Arial"/>
          <w:color w:val="000000"/>
        </w:rPr>
      </w:pPr>
      <w:r>
        <w:rPr>
          <w:rFonts w:ascii="Arial" w:eastAsia="Arial" w:hAnsi="Arial" w:cs="Arial"/>
          <w:color w:val="000000"/>
        </w:rPr>
        <w:t>Las pruebas que respalden las pretensiones, debiendo adjuntarse los documentos que se consideren pertinentes.</w:t>
      </w:r>
    </w:p>
    <w:p w14:paraId="735C976A" w14:textId="77777777" w:rsidR="00CD23AE" w:rsidRDefault="00127FFC">
      <w:pPr>
        <w:numPr>
          <w:ilvl w:val="0"/>
          <w:numId w:val="17"/>
        </w:numPr>
        <w:pBdr>
          <w:top w:val="nil"/>
          <w:left w:val="nil"/>
          <w:bottom w:val="nil"/>
          <w:right w:val="nil"/>
          <w:between w:val="nil"/>
        </w:pBdr>
        <w:tabs>
          <w:tab w:val="left" w:pos="800"/>
        </w:tabs>
        <w:spacing w:before="250" w:line="273" w:lineRule="auto"/>
        <w:ind w:left="482" w:right="197" w:firstLine="0"/>
        <w:jc w:val="both"/>
        <w:rPr>
          <w:rFonts w:ascii="Arial" w:eastAsia="Arial" w:hAnsi="Arial" w:cs="Arial"/>
          <w:color w:val="000000"/>
        </w:rPr>
      </w:pPr>
      <w:r>
        <w:rPr>
          <w:rFonts w:ascii="Arial" w:eastAsia="Arial" w:hAnsi="Arial" w:cs="Arial"/>
          <w:color w:val="000000"/>
        </w:rPr>
        <w:t>En caso no se haya contestado la solicitud de arbitraje, el demandado deberá cumplir además con lo establecido en el artículo 16° del presente Reglamento</w:t>
      </w:r>
    </w:p>
    <w:p w14:paraId="4229A7FB" w14:textId="77777777" w:rsidR="00CD23AE" w:rsidRDefault="00127FFC">
      <w:pPr>
        <w:numPr>
          <w:ilvl w:val="0"/>
          <w:numId w:val="17"/>
        </w:numPr>
        <w:pBdr>
          <w:top w:val="nil"/>
          <w:left w:val="nil"/>
          <w:bottom w:val="nil"/>
          <w:right w:val="nil"/>
          <w:between w:val="nil"/>
        </w:pBdr>
        <w:tabs>
          <w:tab w:val="left" w:pos="784"/>
        </w:tabs>
        <w:spacing w:before="191" w:line="273" w:lineRule="auto"/>
        <w:ind w:left="482" w:right="197" w:firstLine="0"/>
        <w:jc w:val="both"/>
        <w:rPr>
          <w:rFonts w:ascii="Arial" w:eastAsia="Arial" w:hAnsi="Arial" w:cs="Arial"/>
          <w:color w:val="000000"/>
        </w:rPr>
      </w:pPr>
      <w:r>
        <w:rPr>
          <w:rFonts w:ascii="Arial" w:eastAsia="Arial" w:hAnsi="Arial" w:cs="Arial"/>
          <w:color w:val="000000"/>
        </w:rPr>
        <w:t>Los requisitos también se aplicarán a la reconvención y su contestación en lo que resulte pertinente.</w:t>
      </w:r>
    </w:p>
    <w:p w14:paraId="7E7D0521" w14:textId="77777777" w:rsidR="00CD23AE" w:rsidRDefault="00CD23AE">
      <w:pPr>
        <w:tabs>
          <w:tab w:val="left" w:pos="2091"/>
          <w:tab w:val="left" w:pos="2841"/>
          <w:tab w:val="left" w:pos="3182"/>
          <w:tab w:val="left" w:pos="5476"/>
          <w:tab w:val="left" w:pos="5933"/>
          <w:tab w:val="left" w:pos="7907"/>
          <w:tab w:val="left" w:pos="8528"/>
        </w:tabs>
      </w:pPr>
      <w:bookmarkStart w:id="10" w:name="_heading=h.3gywfku7tkzn" w:colFirst="0" w:colLast="0"/>
      <w:bookmarkEnd w:id="10"/>
    </w:p>
    <w:p w14:paraId="1D3AC3CB" w14:textId="77777777" w:rsidR="00CD23AE" w:rsidRDefault="00127FFC" w:rsidP="00756EE5">
      <w:pPr>
        <w:pStyle w:val="Ttulo6"/>
        <w:tabs>
          <w:tab w:val="left" w:pos="2091"/>
          <w:tab w:val="left" w:pos="2841"/>
          <w:tab w:val="left" w:pos="3182"/>
          <w:tab w:val="left" w:pos="5476"/>
          <w:tab w:val="left" w:pos="5933"/>
          <w:tab w:val="left" w:pos="7907"/>
          <w:tab w:val="left" w:pos="8528"/>
        </w:tabs>
        <w:spacing w:line="268" w:lineRule="auto"/>
        <w:ind w:right="198"/>
        <w:jc w:val="both"/>
        <w:rPr>
          <w:rFonts w:ascii="Arial" w:eastAsia="Arial" w:hAnsi="Arial" w:cs="Arial"/>
          <w:sz w:val="24"/>
          <w:szCs w:val="24"/>
        </w:rPr>
      </w:pPr>
      <w:r>
        <w:rPr>
          <w:rFonts w:ascii="Arial" w:eastAsia="Arial" w:hAnsi="Arial" w:cs="Arial"/>
          <w:color w:val="916F41"/>
          <w:sz w:val="24"/>
          <w:szCs w:val="24"/>
        </w:rPr>
        <w:t>ARTÍCULO</w:t>
      </w:r>
      <w:r>
        <w:rPr>
          <w:rFonts w:ascii="Arial" w:eastAsia="Arial" w:hAnsi="Arial" w:cs="Arial"/>
          <w:color w:val="916F41"/>
          <w:sz w:val="24"/>
          <w:szCs w:val="24"/>
        </w:rPr>
        <w:tab/>
        <w:t>46°.</w:t>
      </w:r>
      <w:r>
        <w:rPr>
          <w:rFonts w:ascii="Arial" w:eastAsia="Arial" w:hAnsi="Arial" w:cs="Arial"/>
          <w:color w:val="916F41"/>
          <w:sz w:val="24"/>
          <w:szCs w:val="24"/>
        </w:rPr>
        <w:tab/>
        <w:t>-</w:t>
      </w:r>
      <w:r>
        <w:rPr>
          <w:rFonts w:ascii="Arial" w:eastAsia="Arial" w:hAnsi="Arial" w:cs="Arial"/>
          <w:sz w:val="24"/>
          <w:szCs w:val="24"/>
        </w:rPr>
        <w:tab/>
        <w:t>MODIFICACIÓN</w:t>
      </w:r>
      <w:r>
        <w:rPr>
          <w:rFonts w:ascii="Arial" w:eastAsia="Arial" w:hAnsi="Arial" w:cs="Arial"/>
          <w:sz w:val="24"/>
          <w:szCs w:val="24"/>
        </w:rPr>
        <w:tab/>
        <w:t>O</w:t>
      </w:r>
      <w:r>
        <w:rPr>
          <w:rFonts w:ascii="Arial" w:eastAsia="Arial" w:hAnsi="Arial" w:cs="Arial"/>
          <w:sz w:val="24"/>
          <w:szCs w:val="24"/>
        </w:rPr>
        <w:tab/>
        <w:t>AMPLIACIÓN</w:t>
      </w:r>
      <w:r>
        <w:rPr>
          <w:rFonts w:ascii="Arial" w:eastAsia="Arial" w:hAnsi="Arial" w:cs="Arial"/>
          <w:sz w:val="24"/>
          <w:szCs w:val="24"/>
        </w:rPr>
        <w:tab/>
        <w:t>DE DEMANDA, RECONVENCIÓN Y CONTESTACIONES</w:t>
      </w:r>
    </w:p>
    <w:p w14:paraId="7275FF83" w14:textId="77777777" w:rsidR="00CD23AE" w:rsidRDefault="00127FFC">
      <w:pPr>
        <w:numPr>
          <w:ilvl w:val="0"/>
          <w:numId w:val="15"/>
        </w:numPr>
        <w:pBdr>
          <w:top w:val="nil"/>
          <w:left w:val="nil"/>
          <w:bottom w:val="nil"/>
          <w:right w:val="nil"/>
          <w:between w:val="nil"/>
        </w:pBdr>
        <w:tabs>
          <w:tab w:val="left" w:pos="738"/>
        </w:tabs>
        <w:spacing w:before="183" w:line="273" w:lineRule="auto"/>
        <w:ind w:left="482" w:right="197" w:firstLine="0"/>
        <w:jc w:val="both"/>
        <w:rPr>
          <w:rFonts w:ascii="Arial" w:eastAsia="Arial" w:hAnsi="Arial" w:cs="Arial"/>
          <w:color w:val="000000"/>
        </w:rPr>
      </w:pPr>
      <w:r>
        <w:rPr>
          <w:rFonts w:ascii="Arial" w:eastAsia="Arial" w:hAnsi="Arial" w:cs="Arial"/>
          <w:color w:val="000000"/>
        </w:rPr>
        <w:t>Salvo que los árbitros por razones de demora o de perjuicio posible a la contraparte lo consideren inconveniente, las partes podrán modificar o ampliar sus pretensiones de la demanda, reconvención o contestaciones hasta antes de notificada la decisión que establece las cuestiones sobre las que se pronunciarán los árbitros para resolver la controversia.</w:t>
      </w:r>
    </w:p>
    <w:p w14:paraId="33D82A58" w14:textId="77777777" w:rsidR="00CD23AE" w:rsidRDefault="00127FFC">
      <w:pPr>
        <w:numPr>
          <w:ilvl w:val="0"/>
          <w:numId w:val="15"/>
        </w:numPr>
        <w:pBdr>
          <w:top w:val="nil"/>
          <w:left w:val="nil"/>
          <w:bottom w:val="nil"/>
          <w:right w:val="nil"/>
          <w:between w:val="nil"/>
        </w:pBdr>
        <w:tabs>
          <w:tab w:val="left" w:pos="806"/>
        </w:tabs>
        <w:spacing w:before="189" w:line="273" w:lineRule="auto"/>
        <w:ind w:left="482" w:right="197" w:firstLine="0"/>
        <w:jc w:val="both"/>
        <w:rPr>
          <w:rFonts w:ascii="Arial" w:eastAsia="Arial" w:hAnsi="Arial" w:cs="Arial"/>
          <w:color w:val="000000"/>
        </w:rPr>
      </w:pPr>
      <w:r>
        <w:rPr>
          <w:rFonts w:ascii="Arial" w:eastAsia="Arial" w:hAnsi="Arial" w:cs="Arial"/>
          <w:color w:val="000000"/>
        </w:rPr>
        <w:t>Para el caso de ampliación de pretensiones en los arbitrajes sujetos a una normativa especial, se aplicará lo dispuesto en ésta.</w:t>
      </w:r>
    </w:p>
    <w:p w14:paraId="06DD3F39" w14:textId="77777777" w:rsidR="00CD23AE" w:rsidRDefault="00CD23AE">
      <w:pPr>
        <w:pBdr>
          <w:top w:val="nil"/>
          <w:left w:val="nil"/>
          <w:bottom w:val="nil"/>
          <w:right w:val="nil"/>
          <w:between w:val="nil"/>
        </w:pBdr>
        <w:spacing w:before="19"/>
        <w:jc w:val="both"/>
        <w:rPr>
          <w:rFonts w:ascii="Arial" w:eastAsia="Arial" w:hAnsi="Arial" w:cs="Arial"/>
          <w:color w:val="000000"/>
        </w:rPr>
      </w:pPr>
    </w:p>
    <w:p w14:paraId="7B113610" w14:textId="77777777" w:rsidR="00756EE5" w:rsidRDefault="00756EE5" w:rsidP="00756EE5">
      <w:pPr>
        <w:pStyle w:val="Ttulo6"/>
        <w:jc w:val="both"/>
        <w:rPr>
          <w:rFonts w:ascii="Arial" w:eastAsia="Arial" w:hAnsi="Arial" w:cs="Arial"/>
          <w:color w:val="916F41"/>
          <w:sz w:val="24"/>
          <w:szCs w:val="24"/>
        </w:rPr>
      </w:pPr>
    </w:p>
    <w:p w14:paraId="58C61837" w14:textId="77777777" w:rsidR="00756EE5" w:rsidRDefault="00756EE5" w:rsidP="00756EE5">
      <w:pPr>
        <w:pStyle w:val="Ttulo6"/>
        <w:jc w:val="both"/>
        <w:rPr>
          <w:rFonts w:ascii="Arial" w:eastAsia="Arial" w:hAnsi="Arial" w:cs="Arial"/>
          <w:color w:val="916F41"/>
          <w:sz w:val="24"/>
          <w:szCs w:val="24"/>
        </w:rPr>
      </w:pPr>
    </w:p>
    <w:p w14:paraId="70CF2B98" w14:textId="5E54080F" w:rsidR="00CD23AE" w:rsidRDefault="00127FFC" w:rsidP="00756EE5">
      <w:pPr>
        <w:pStyle w:val="Ttulo6"/>
        <w:jc w:val="both"/>
        <w:rPr>
          <w:rFonts w:ascii="Arial" w:eastAsia="Arial" w:hAnsi="Arial" w:cs="Arial"/>
          <w:sz w:val="24"/>
          <w:szCs w:val="24"/>
        </w:rPr>
      </w:pPr>
      <w:r>
        <w:rPr>
          <w:rFonts w:ascii="Arial" w:eastAsia="Arial" w:hAnsi="Arial" w:cs="Arial"/>
          <w:color w:val="916F41"/>
          <w:sz w:val="24"/>
          <w:szCs w:val="24"/>
        </w:rPr>
        <w:lastRenderedPageBreak/>
        <w:t>ARTÍCULO 47°. -</w:t>
      </w:r>
      <w:r>
        <w:rPr>
          <w:rFonts w:ascii="Arial" w:eastAsia="Arial" w:hAnsi="Arial" w:cs="Arial"/>
          <w:sz w:val="24"/>
          <w:szCs w:val="24"/>
        </w:rPr>
        <w:t xml:space="preserve"> EXCEPCIONES</w:t>
      </w:r>
    </w:p>
    <w:p w14:paraId="56C867C5" w14:textId="77777777" w:rsidR="00CD23AE" w:rsidRDefault="00127FFC">
      <w:pPr>
        <w:numPr>
          <w:ilvl w:val="0"/>
          <w:numId w:val="14"/>
        </w:numPr>
        <w:pBdr>
          <w:top w:val="nil"/>
          <w:left w:val="nil"/>
          <w:bottom w:val="nil"/>
          <w:right w:val="nil"/>
          <w:between w:val="nil"/>
        </w:pBdr>
        <w:tabs>
          <w:tab w:val="left" w:pos="718"/>
        </w:tabs>
        <w:spacing w:before="220" w:line="273" w:lineRule="auto"/>
        <w:ind w:left="482" w:right="197" w:firstLine="0"/>
        <w:jc w:val="both"/>
        <w:rPr>
          <w:rFonts w:ascii="Arial" w:eastAsia="Arial" w:hAnsi="Arial" w:cs="Arial"/>
          <w:color w:val="000000"/>
        </w:rPr>
      </w:pPr>
      <w:r>
        <w:rPr>
          <w:rFonts w:ascii="Arial" w:eastAsia="Arial" w:hAnsi="Arial" w:cs="Arial"/>
          <w:color w:val="000000"/>
        </w:rPr>
        <w:t>Las excepciones, objeciones u oposiciones a la competencia, así como las referidas a prescripción, caducidad, cosa juzgada y cualquier otra se interpondrán como máximo al contestar la demanda o la reconvención.</w:t>
      </w:r>
    </w:p>
    <w:p w14:paraId="6141CCA7" w14:textId="77777777" w:rsidR="00CD23AE" w:rsidRDefault="00127FFC">
      <w:pPr>
        <w:numPr>
          <w:ilvl w:val="0"/>
          <w:numId w:val="14"/>
        </w:numPr>
        <w:pBdr>
          <w:top w:val="nil"/>
          <w:left w:val="nil"/>
          <w:bottom w:val="nil"/>
          <w:right w:val="nil"/>
          <w:between w:val="nil"/>
        </w:pBdr>
        <w:tabs>
          <w:tab w:val="left" w:pos="825"/>
        </w:tabs>
        <w:spacing w:before="191" w:line="273" w:lineRule="auto"/>
        <w:ind w:left="482" w:right="197" w:firstLine="0"/>
        <w:jc w:val="both"/>
        <w:rPr>
          <w:rFonts w:ascii="Arial" w:eastAsia="Arial" w:hAnsi="Arial" w:cs="Arial"/>
          <w:color w:val="000000"/>
        </w:rPr>
      </w:pPr>
      <w:r>
        <w:rPr>
          <w:rFonts w:ascii="Arial" w:eastAsia="Arial" w:hAnsi="Arial" w:cs="Arial"/>
          <w:color w:val="000000"/>
        </w:rPr>
        <w:t>Los árbitros resolverán las excepciones, objeciones u oposiciones a la competencia mediante un laudo parcial o resolución, según consideren pertinente.</w:t>
      </w:r>
    </w:p>
    <w:p w14:paraId="593737C6" w14:textId="77777777" w:rsidR="005E41D0" w:rsidRDefault="005E41D0" w:rsidP="005E41D0">
      <w:pPr>
        <w:pStyle w:val="Ttulo6"/>
        <w:tabs>
          <w:tab w:val="left" w:pos="2294"/>
          <w:tab w:val="left" w:pos="3253"/>
          <w:tab w:val="left" w:pos="3797"/>
          <w:tab w:val="left" w:pos="6535"/>
          <w:tab w:val="left" w:pos="7359"/>
          <w:tab w:val="left" w:pos="8312"/>
        </w:tabs>
        <w:spacing w:before="1" w:line="268" w:lineRule="auto"/>
        <w:ind w:right="198"/>
        <w:jc w:val="both"/>
        <w:rPr>
          <w:rFonts w:ascii="Arial" w:eastAsia="Arial" w:hAnsi="Arial" w:cs="Arial"/>
          <w:color w:val="916F41"/>
          <w:sz w:val="24"/>
          <w:szCs w:val="24"/>
        </w:rPr>
      </w:pPr>
    </w:p>
    <w:p w14:paraId="3CC3A940" w14:textId="1D9ADDAF" w:rsidR="00CD23AE" w:rsidRDefault="00127FFC" w:rsidP="005E41D0">
      <w:pPr>
        <w:pStyle w:val="Ttulo6"/>
        <w:tabs>
          <w:tab w:val="left" w:pos="2294"/>
          <w:tab w:val="left" w:pos="3253"/>
          <w:tab w:val="left" w:pos="3797"/>
          <w:tab w:val="left" w:pos="6535"/>
          <w:tab w:val="left" w:pos="7359"/>
          <w:tab w:val="left" w:pos="8312"/>
        </w:tabs>
        <w:spacing w:before="1" w:line="268" w:lineRule="auto"/>
        <w:ind w:right="198"/>
        <w:jc w:val="both"/>
        <w:rPr>
          <w:rFonts w:ascii="Arial" w:eastAsia="Arial" w:hAnsi="Arial" w:cs="Arial"/>
          <w:sz w:val="24"/>
          <w:szCs w:val="24"/>
        </w:rPr>
      </w:pPr>
      <w:r>
        <w:rPr>
          <w:rFonts w:ascii="Arial" w:eastAsia="Arial" w:hAnsi="Arial" w:cs="Arial"/>
          <w:color w:val="916F41"/>
          <w:sz w:val="24"/>
          <w:szCs w:val="24"/>
        </w:rPr>
        <w:t>ARTÍCULO 48°. -</w:t>
      </w:r>
      <w:r>
        <w:rPr>
          <w:rFonts w:ascii="Arial" w:eastAsia="Arial" w:hAnsi="Arial" w:cs="Arial"/>
          <w:sz w:val="24"/>
          <w:szCs w:val="24"/>
        </w:rPr>
        <w:t xml:space="preserve"> DETERMINACIÓN DE LAS CUESTIONES CONTROVERTIDAS Y PRUEBAS</w:t>
      </w:r>
    </w:p>
    <w:p w14:paraId="3940D5B7" w14:textId="77777777" w:rsidR="00CD23AE" w:rsidRDefault="00127FFC">
      <w:pPr>
        <w:numPr>
          <w:ilvl w:val="0"/>
          <w:numId w:val="13"/>
        </w:numPr>
        <w:pBdr>
          <w:top w:val="nil"/>
          <w:left w:val="nil"/>
          <w:bottom w:val="nil"/>
          <w:right w:val="nil"/>
          <w:between w:val="nil"/>
        </w:pBdr>
        <w:tabs>
          <w:tab w:val="left" w:pos="792"/>
        </w:tabs>
        <w:spacing w:before="183" w:line="273" w:lineRule="auto"/>
        <w:ind w:left="482" w:right="197" w:firstLine="0"/>
        <w:jc w:val="both"/>
        <w:rPr>
          <w:rFonts w:ascii="Arial" w:eastAsia="Arial" w:hAnsi="Arial" w:cs="Arial"/>
          <w:color w:val="000000"/>
        </w:rPr>
      </w:pPr>
      <w:r>
        <w:rPr>
          <w:rFonts w:ascii="Arial" w:eastAsia="Arial" w:hAnsi="Arial" w:cs="Arial"/>
          <w:color w:val="000000"/>
        </w:rPr>
        <w:t>Los árbitros decidirán las cuestiones controvertidas sobre las que se pronunciarán, tomando en cuenta las pretensiones de la demanda y la reconvención.</w:t>
      </w:r>
    </w:p>
    <w:p w14:paraId="0753A2AD" w14:textId="77777777" w:rsidR="00CD23AE" w:rsidRDefault="00127FFC">
      <w:pPr>
        <w:numPr>
          <w:ilvl w:val="0"/>
          <w:numId w:val="13"/>
        </w:numPr>
        <w:pBdr>
          <w:top w:val="nil"/>
          <w:left w:val="nil"/>
          <w:bottom w:val="nil"/>
          <w:right w:val="nil"/>
          <w:between w:val="nil"/>
        </w:pBdr>
        <w:tabs>
          <w:tab w:val="left" w:pos="805"/>
        </w:tabs>
        <w:spacing w:before="191" w:line="273" w:lineRule="auto"/>
        <w:ind w:left="482" w:right="197" w:firstLine="0"/>
        <w:jc w:val="both"/>
        <w:rPr>
          <w:rFonts w:ascii="Arial" w:eastAsia="Arial" w:hAnsi="Arial" w:cs="Arial"/>
          <w:color w:val="000000"/>
        </w:rPr>
      </w:pPr>
      <w:r>
        <w:rPr>
          <w:rFonts w:ascii="Arial" w:eastAsia="Arial" w:hAnsi="Arial" w:cs="Arial"/>
          <w:color w:val="000000"/>
        </w:rPr>
        <w:t>En la misma decisión podrán admitir o rechazar las pruebas ofrecidas por las partes, se haya o no planteado alguna cuestión probatoria, sin perjuicio de disponer la actuación de pruebas de oficio.</w:t>
      </w:r>
    </w:p>
    <w:p w14:paraId="2E948E7B" w14:textId="77777777" w:rsidR="00CD23AE" w:rsidRDefault="00CD23AE">
      <w:pPr>
        <w:pBdr>
          <w:top w:val="nil"/>
          <w:left w:val="nil"/>
          <w:bottom w:val="nil"/>
          <w:right w:val="nil"/>
          <w:between w:val="nil"/>
        </w:pBdr>
        <w:spacing w:before="36"/>
        <w:jc w:val="both"/>
        <w:rPr>
          <w:rFonts w:ascii="Arial" w:eastAsia="Arial" w:hAnsi="Arial" w:cs="Arial"/>
          <w:color w:val="000000"/>
        </w:rPr>
      </w:pPr>
    </w:p>
    <w:p w14:paraId="142AD10A" w14:textId="77777777" w:rsidR="00CD23AE" w:rsidRDefault="00127FFC">
      <w:pPr>
        <w:numPr>
          <w:ilvl w:val="0"/>
          <w:numId w:val="13"/>
        </w:numPr>
        <w:pBdr>
          <w:top w:val="nil"/>
          <w:left w:val="nil"/>
          <w:bottom w:val="nil"/>
          <w:right w:val="nil"/>
          <w:between w:val="nil"/>
        </w:pBdr>
        <w:tabs>
          <w:tab w:val="left" w:pos="828"/>
        </w:tabs>
        <w:spacing w:line="273" w:lineRule="auto"/>
        <w:ind w:left="482" w:right="197" w:firstLine="0"/>
        <w:jc w:val="both"/>
        <w:rPr>
          <w:rFonts w:ascii="Arial" w:eastAsia="Arial" w:hAnsi="Arial" w:cs="Arial"/>
          <w:color w:val="000000"/>
        </w:rPr>
      </w:pPr>
      <w:r>
        <w:rPr>
          <w:rFonts w:ascii="Arial" w:eastAsia="Arial" w:hAnsi="Arial" w:cs="Arial"/>
          <w:color w:val="000000"/>
        </w:rPr>
        <w:t>Adicionalmente, los árbitros podrán ordenar la actuación de aquellas pruebas que a su criterio deban actuarse, fijando la fecha para su actuación de considerarlo conveniente.</w:t>
      </w:r>
    </w:p>
    <w:p w14:paraId="49A223A1" w14:textId="77777777" w:rsidR="00CD23AE" w:rsidRDefault="00127FFC">
      <w:pPr>
        <w:numPr>
          <w:ilvl w:val="0"/>
          <w:numId w:val="13"/>
        </w:numPr>
        <w:pBdr>
          <w:top w:val="nil"/>
          <w:left w:val="nil"/>
          <w:bottom w:val="nil"/>
          <w:right w:val="nil"/>
          <w:between w:val="nil"/>
        </w:pBdr>
        <w:tabs>
          <w:tab w:val="left" w:pos="987"/>
        </w:tabs>
        <w:spacing w:before="156" w:line="273" w:lineRule="auto"/>
        <w:ind w:left="482" w:right="197" w:firstLine="0"/>
        <w:jc w:val="both"/>
        <w:rPr>
          <w:rFonts w:ascii="Arial" w:eastAsia="Arial" w:hAnsi="Arial" w:cs="Arial"/>
          <w:color w:val="000000"/>
        </w:rPr>
      </w:pPr>
      <w:r>
        <w:rPr>
          <w:rFonts w:ascii="Arial" w:eastAsia="Arial" w:hAnsi="Arial" w:cs="Arial"/>
          <w:color w:val="000000"/>
        </w:rPr>
        <w:t>Los árbitros tienen la potestad exclusiva para determinar la admisibilidad, pertinencia, actuación y valor de las pruebas ofrecidas, pudiendo:</w:t>
      </w:r>
    </w:p>
    <w:p w14:paraId="6C3DBDC3" w14:textId="77777777" w:rsidR="00CD23AE" w:rsidRDefault="00127FFC">
      <w:pPr>
        <w:numPr>
          <w:ilvl w:val="0"/>
          <w:numId w:val="59"/>
        </w:numPr>
        <w:pBdr>
          <w:top w:val="nil"/>
          <w:left w:val="nil"/>
          <w:bottom w:val="nil"/>
          <w:right w:val="nil"/>
          <w:between w:val="nil"/>
        </w:pBdr>
        <w:spacing w:before="191"/>
        <w:ind w:left="1276" w:hanging="425"/>
        <w:jc w:val="both"/>
        <w:rPr>
          <w:rFonts w:ascii="Arial" w:eastAsia="Arial" w:hAnsi="Arial" w:cs="Arial"/>
          <w:color w:val="000000"/>
        </w:rPr>
      </w:pPr>
      <w:r>
        <w:rPr>
          <w:rFonts w:ascii="Arial" w:eastAsia="Arial" w:hAnsi="Arial" w:cs="Arial"/>
          <w:color w:val="000000"/>
        </w:rPr>
        <w:t>Solicitar a las partes cualquier prueba o información adicional que considere pertinente; así como disponer de oficio la actuación de pruebas adicionales.</w:t>
      </w:r>
    </w:p>
    <w:p w14:paraId="17A5DFB9" w14:textId="77777777" w:rsidR="00CD23AE" w:rsidRDefault="00127FFC">
      <w:pPr>
        <w:numPr>
          <w:ilvl w:val="0"/>
          <w:numId w:val="59"/>
        </w:numPr>
        <w:pBdr>
          <w:top w:val="nil"/>
          <w:left w:val="nil"/>
          <w:bottom w:val="nil"/>
          <w:right w:val="nil"/>
          <w:between w:val="nil"/>
        </w:pBdr>
        <w:spacing w:before="192"/>
        <w:ind w:left="1276" w:hanging="430"/>
        <w:jc w:val="both"/>
        <w:rPr>
          <w:rFonts w:ascii="Arial" w:eastAsia="Arial" w:hAnsi="Arial" w:cs="Arial"/>
          <w:color w:val="000000"/>
        </w:rPr>
      </w:pPr>
      <w:r>
        <w:rPr>
          <w:rFonts w:ascii="Arial" w:eastAsia="Arial" w:hAnsi="Arial" w:cs="Arial"/>
          <w:color w:val="000000"/>
        </w:rPr>
        <w:t>Admitir las pruebas una vez presentados los escritos de demanda, reconvención y sus contestaciones, de considerarlo necesario.</w:t>
      </w:r>
    </w:p>
    <w:p w14:paraId="518475AD" w14:textId="77777777" w:rsidR="00CD23AE" w:rsidRDefault="00127FFC">
      <w:pPr>
        <w:numPr>
          <w:ilvl w:val="0"/>
          <w:numId w:val="59"/>
        </w:numPr>
        <w:pBdr>
          <w:top w:val="nil"/>
          <w:left w:val="nil"/>
          <w:bottom w:val="nil"/>
          <w:right w:val="nil"/>
          <w:between w:val="nil"/>
        </w:pBdr>
        <w:spacing w:before="200"/>
        <w:ind w:left="1276" w:right="192" w:hanging="425"/>
        <w:jc w:val="both"/>
        <w:rPr>
          <w:rFonts w:ascii="Arial" w:eastAsia="Arial" w:hAnsi="Arial" w:cs="Arial"/>
          <w:color w:val="000000"/>
        </w:rPr>
      </w:pPr>
      <w:r>
        <w:rPr>
          <w:rFonts w:ascii="Arial" w:eastAsia="Arial" w:hAnsi="Arial" w:cs="Arial"/>
          <w:color w:val="000000"/>
        </w:rPr>
        <w:t>Prescindir motivadamente de las pruebas ofrecidas y no actuadas, si se considera adecuadamente informado, pudiendo emitir el laudo basándose en las pruebas que   disponga, según las circunstancias del caso.</w:t>
      </w:r>
    </w:p>
    <w:p w14:paraId="61A353E6" w14:textId="77777777" w:rsidR="00CD23AE" w:rsidRDefault="00127FFC">
      <w:pPr>
        <w:numPr>
          <w:ilvl w:val="0"/>
          <w:numId w:val="59"/>
        </w:numPr>
        <w:pBdr>
          <w:top w:val="nil"/>
          <w:left w:val="nil"/>
          <w:bottom w:val="nil"/>
          <w:right w:val="nil"/>
          <w:between w:val="nil"/>
        </w:pBdr>
        <w:tabs>
          <w:tab w:val="left" w:pos="2010"/>
          <w:tab w:val="left" w:pos="3810"/>
          <w:tab w:val="left" w:pos="5318"/>
          <w:tab w:val="left" w:pos="6824"/>
          <w:tab w:val="left" w:pos="9109"/>
          <w:tab w:val="left" w:pos="9670"/>
        </w:tabs>
        <w:spacing w:before="236" w:line="276" w:lineRule="auto"/>
        <w:ind w:left="1276" w:hanging="425"/>
        <w:jc w:val="both"/>
        <w:rPr>
          <w:rFonts w:ascii="Arial" w:eastAsia="Arial" w:hAnsi="Arial" w:cs="Arial"/>
          <w:color w:val="000000"/>
        </w:rPr>
      </w:pPr>
      <w:r>
        <w:rPr>
          <w:rFonts w:ascii="Arial" w:eastAsia="Arial" w:hAnsi="Arial" w:cs="Arial"/>
          <w:color w:val="000000"/>
        </w:rPr>
        <w:t>De considerarlo necesario, prescindir motivadamente de las pruebas cuya actuación no haya podido ser ejecutada por las características de su ofrecimiento o por la naturaleza de la prueba, habiendo transcurrido un plazo razonable.</w:t>
      </w:r>
    </w:p>
    <w:p w14:paraId="51D68787" w14:textId="77777777" w:rsidR="00CD23AE" w:rsidRDefault="00127FFC">
      <w:pPr>
        <w:numPr>
          <w:ilvl w:val="0"/>
          <w:numId w:val="13"/>
        </w:numPr>
        <w:pBdr>
          <w:top w:val="nil"/>
          <w:left w:val="nil"/>
          <w:bottom w:val="nil"/>
          <w:right w:val="nil"/>
          <w:between w:val="nil"/>
        </w:pBdr>
        <w:tabs>
          <w:tab w:val="left" w:pos="819"/>
        </w:tabs>
        <w:spacing w:before="236" w:line="273" w:lineRule="auto"/>
        <w:ind w:left="482" w:right="197" w:firstLine="0"/>
        <w:jc w:val="both"/>
        <w:rPr>
          <w:rFonts w:ascii="Arial" w:eastAsia="Arial" w:hAnsi="Arial" w:cs="Arial"/>
          <w:color w:val="000000"/>
        </w:rPr>
      </w:pPr>
      <w:r>
        <w:rPr>
          <w:rFonts w:ascii="Arial" w:eastAsia="Arial" w:hAnsi="Arial" w:cs="Arial"/>
          <w:color w:val="000000"/>
        </w:rPr>
        <w:t>El costo que irrogue la actuación de las pruebas será asumido por la parte que solicitó su actuación, bajo apercibimiento de prescindirse de ésta. No obstante, lo anterior, el laudo arbitral podrá establecer que una parte distinta asuma todo o parte de estos gastos como costo del arbitraje.</w:t>
      </w:r>
    </w:p>
    <w:p w14:paraId="2E1A323E" w14:textId="77777777" w:rsidR="00CD23AE" w:rsidRDefault="00127FFC">
      <w:pPr>
        <w:numPr>
          <w:ilvl w:val="0"/>
          <w:numId w:val="13"/>
        </w:numPr>
        <w:pBdr>
          <w:top w:val="nil"/>
          <w:left w:val="nil"/>
          <w:bottom w:val="nil"/>
          <w:right w:val="nil"/>
          <w:between w:val="nil"/>
        </w:pBdr>
        <w:tabs>
          <w:tab w:val="left" w:pos="785"/>
        </w:tabs>
        <w:spacing w:before="190" w:line="273" w:lineRule="auto"/>
        <w:ind w:left="482" w:right="197" w:firstLine="0"/>
        <w:jc w:val="both"/>
        <w:rPr>
          <w:rFonts w:ascii="Arial" w:eastAsia="Arial" w:hAnsi="Arial" w:cs="Arial"/>
          <w:color w:val="000000"/>
        </w:rPr>
      </w:pPr>
      <w:r>
        <w:rPr>
          <w:rFonts w:ascii="Arial" w:eastAsia="Arial" w:hAnsi="Arial" w:cs="Arial"/>
          <w:color w:val="000000"/>
        </w:rPr>
        <w:t>En el caso de las pruebas de oficio, los gastos serán asumidos por ambas partes en proporciones iguales, sin perjuicio de que los árbitros dispongan algo distinto.</w:t>
      </w:r>
    </w:p>
    <w:p w14:paraId="221C1991" w14:textId="77777777" w:rsidR="005E41D0" w:rsidRDefault="005E41D0" w:rsidP="005E41D0">
      <w:pPr>
        <w:pStyle w:val="Ttulo6"/>
        <w:jc w:val="both"/>
        <w:rPr>
          <w:rFonts w:ascii="Arial" w:eastAsia="Arial" w:hAnsi="Arial" w:cs="Arial"/>
          <w:sz w:val="24"/>
          <w:szCs w:val="24"/>
        </w:rPr>
      </w:pPr>
    </w:p>
    <w:p w14:paraId="0EE2C689" w14:textId="36637F6C" w:rsidR="00CD23AE" w:rsidRDefault="00127FFC" w:rsidP="005E41D0">
      <w:pPr>
        <w:pStyle w:val="Ttulo6"/>
        <w:jc w:val="both"/>
        <w:rPr>
          <w:rFonts w:ascii="Arial" w:eastAsia="Arial" w:hAnsi="Arial" w:cs="Arial"/>
          <w:sz w:val="24"/>
          <w:szCs w:val="24"/>
        </w:rPr>
      </w:pPr>
      <w:r w:rsidRPr="005E41D0">
        <w:rPr>
          <w:rFonts w:ascii="Arial" w:eastAsia="Arial" w:hAnsi="Arial" w:cs="Arial"/>
          <w:color w:val="916F41"/>
          <w:sz w:val="24"/>
          <w:szCs w:val="24"/>
        </w:rPr>
        <w:t>ARTÍCULO 49°. -</w:t>
      </w:r>
      <w:r w:rsidRPr="005E41D0">
        <w:rPr>
          <w:rFonts w:ascii="Arial" w:eastAsia="Arial" w:hAnsi="Arial" w:cs="Arial"/>
          <w:sz w:val="24"/>
          <w:szCs w:val="24"/>
        </w:rPr>
        <w:t xml:space="preserve"> </w:t>
      </w:r>
      <w:r>
        <w:rPr>
          <w:rFonts w:ascii="Arial" w:eastAsia="Arial" w:hAnsi="Arial" w:cs="Arial"/>
          <w:sz w:val="24"/>
          <w:szCs w:val="24"/>
        </w:rPr>
        <w:t>DE LAS AUDIENCIAS</w:t>
      </w:r>
    </w:p>
    <w:p w14:paraId="2CE72CB2" w14:textId="77777777" w:rsidR="00CD23AE" w:rsidRDefault="00127FFC">
      <w:pPr>
        <w:numPr>
          <w:ilvl w:val="0"/>
          <w:numId w:val="11"/>
        </w:numPr>
        <w:pBdr>
          <w:top w:val="nil"/>
          <w:left w:val="nil"/>
          <w:bottom w:val="nil"/>
          <w:right w:val="nil"/>
          <w:between w:val="nil"/>
        </w:pBdr>
        <w:tabs>
          <w:tab w:val="left" w:pos="761"/>
        </w:tabs>
        <w:spacing w:before="220" w:line="273" w:lineRule="auto"/>
        <w:ind w:left="482" w:right="198" w:firstLine="0"/>
        <w:jc w:val="both"/>
        <w:rPr>
          <w:rFonts w:ascii="Arial" w:eastAsia="Arial" w:hAnsi="Arial" w:cs="Arial"/>
          <w:color w:val="000000"/>
        </w:rPr>
      </w:pPr>
      <w:r>
        <w:rPr>
          <w:rFonts w:ascii="Arial" w:eastAsia="Arial" w:hAnsi="Arial" w:cs="Arial"/>
          <w:color w:val="000000"/>
        </w:rPr>
        <w:t>En la misma decisión que determina las cuestiones controvertidas, los árbitros podrán fijar un cronograma de audiencias con el objeto de actuar las pruebas admitidas, de ser posible, así como escuchar las posiciones de las partes sobre la controversia. Para programar las audiencias, se coordinará con las partes.</w:t>
      </w:r>
    </w:p>
    <w:p w14:paraId="3BAA619C" w14:textId="77777777" w:rsidR="00CD23AE" w:rsidRDefault="00127FFC">
      <w:pPr>
        <w:numPr>
          <w:ilvl w:val="0"/>
          <w:numId w:val="11"/>
        </w:numPr>
        <w:pBdr>
          <w:top w:val="nil"/>
          <w:left w:val="nil"/>
          <w:bottom w:val="nil"/>
          <w:right w:val="nil"/>
          <w:between w:val="nil"/>
        </w:pBdr>
        <w:tabs>
          <w:tab w:val="left" w:pos="761"/>
        </w:tabs>
        <w:spacing w:before="220" w:line="273" w:lineRule="auto"/>
        <w:ind w:left="482" w:right="198" w:firstLine="0"/>
        <w:jc w:val="both"/>
        <w:rPr>
          <w:rFonts w:ascii="Arial" w:eastAsia="Arial" w:hAnsi="Arial" w:cs="Arial"/>
          <w:color w:val="000000"/>
        </w:rPr>
      </w:pPr>
      <w:r>
        <w:rPr>
          <w:rFonts w:ascii="Arial" w:eastAsia="Arial" w:hAnsi="Arial" w:cs="Arial"/>
          <w:color w:val="000000"/>
        </w:rPr>
        <w:lastRenderedPageBreak/>
        <w:t>Las audiencias pueden realizarse de manera conjunta y de preferencia en una sola sesión, salvo disposición contraria de los árbitros.</w:t>
      </w:r>
    </w:p>
    <w:p w14:paraId="126F7950" w14:textId="77777777" w:rsidR="00CD23AE" w:rsidRDefault="00CD23AE">
      <w:pPr>
        <w:pBdr>
          <w:top w:val="nil"/>
          <w:left w:val="nil"/>
          <w:bottom w:val="nil"/>
          <w:right w:val="nil"/>
          <w:between w:val="nil"/>
        </w:pBdr>
        <w:tabs>
          <w:tab w:val="left" w:pos="801"/>
        </w:tabs>
        <w:spacing w:before="112" w:line="273" w:lineRule="auto"/>
        <w:ind w:left="482" w:right="197"/>
        <w:jc w:val="both"/>
        <w:rPr>
          <w:rFonts w:ascii="Arial" w:eastAsia="Arial" w:hAnsi="Arial" w:cs="Arial"/>
          <w:color w:val="000000"/>
        </w:rPr>
      </w:pPr>
    </w:p>
    <w:p w14:paraId="598DAB28" w14:textId="77777777" w:rsidR="00CD23AE" w:rsidRDefault="00127FFC">
      <w:pPr>
        <w:numPr>
          <w:ilvl w:val="0"/>
          <w:numId w:val="11"/>
        </w:numPr>
        <w:pBdr>
          <w:top w:val="nil"/>
          <w:left w:val="nil"/>
          <w:bottom w:val="nil"/>
          <w:right w:val="nil"/>
          <w:between w:val="nil"/>
        </w:pBdr>
        <w:tabs>
          <w:tab w:val="left" w:pos="774"/>
        </w:tabs>
        <w:spacing w:line="273" w:lineRule="auto"/>
        <w:ind w:left="482" w:right="197" w:firstLine="0"/>
        <w:jc w:val="both"/>
        <w:rPr>
          <w:rFonts w:ascii="Arial" w:eastAsia="Arial" w:hAnsi="Arial" w:cs="Arial"/>
          <w:color w:val="000000"/>
        </w:rPr>
      </w:pPr>
      <w:r>
        <w:rPr>
          <w:rFonts w:ascii="Arial" w:eastAsia="Arial" w:hAnsi="Arial" w:cs="Arial"/>
          <w:color w:val="000000"/>
        </w:rPr>
        <w:t>De existir únicamente medios de prueba documentales admitidas por el tribunal arbitral, este se encuentra facultado, a su criterio, para prescindir de la audiencia única, y otorgar un plazo de cinco (5) días hábiles para que las partes presenten sus alegatos finales.</w:t>
      </w:r>
    </w:p>
    <w:p w14:paraId="2AEC071B" w14:textId="77777777" w:rsidR="00CD23AE" w:rsidRDefault="00127FFC">
      <w:pPr>
        <w:numPr>
          <w:ilvl w:val="0"/>
          <w:numId w:val="11"/>
        </w:numPr>
        <w:pBdr>
          <w:top w:val="nil"/>
          <w:left w:val="nil"/>
          <w:bottom w:val="nil"/>
          <w:right w:val="nil"/>
          <w:between w:val="nil"/>
        </w:pBdr>
        <w:tabs>
          <w:tab w:val="left" w:pos="792"/>
        </w:tabs>
        <w:spacing w:before="197"/>
        <w:ind w:left="792" w:hanging="310"/>
        <w:jc w:val="both"/>
        <w:rPr>
          <w:rFonts w:ascii="Arial" w:eastAsia="Arial" w:hAnsi="Arial" w:cs="Arial"/>
          <w:color w:val="000000"/>
        </w:rPr>
      </w:pPr>
      <w:r>
        <w:rPr>
          <w:rFonts w:ascii="Arial" w:eastAsia="Arial" w:hAnsi="Arial" w:cs="Arial"/>
          <w:color w:val="000000"/>
        </w:rPr>
        <w:t>Las audiencias se rigen por las siguientes reglas:</w:t>
      </w:r>
    </w:p>
    <w:p w14:paraId="3BD96E07" w14:textId="77777777" w:rsidR="00CD23AE" w:rsidRDefault="00127FFC">
      <w:pPr>
        <w:numPr>
          <w:ilvl w:val="0"/>
          <w:numId w:val="70"/>
        </w:numPr>
        <w:pBdr>
          <w:top w:val="nil"/>
          <w:left w:val="nil"/>
          <w:bottom w:val="nil"/>
          <w:right w:val="nil"/>
          <w:between w:val="nil"/>
        </w:pBdr>
        <w:tabs>
          <w:tab w:val="left" w:pos="792"/>
        </w:tabs>
        <w:spacing w:before="197"/>
        <w:jc w:val="both"/>
        <w:rPr>
          <w:rFonts w:ascii="Arial" w:eastAsia="Arial" w:hAnsi="Arial" w:cs="Arial"/>
          <w:color w:val="000000"/>
        </w:rPr>
      </w:pPr>
      <w:r>
        <w:rPr>
          <w:rFonts w:ascii="Arial" w:eastAsia="Arial" w:hAnsi="Arial" w:cs="Arial"/>
          <w:color w:val="000000"/>
        </w:rPr>
        <w:t>Salvo acuerdo distinto de las partes, se realizan en privado y su desarrollo consta en un acta suscrita por los árbitros, las partes asistentes y el Secretario Arbitral representante del Centro. Los árbitros pueden dispensar de la firma de considerarlo conveniente.</w:t>
      </w:r>
    </w:p>
    <w:p w14:paraId="1F5EC681" w14:textId="77777777" w:rsidR="00CD23AE" w:rsidRDefault="00127FFC">
      <w:pPr>
        <w:numPr>
          <w:ilvl w:val="0"/>
          <w:numId w:val="70"/>
        </w:numPr>
        <w:pBdr>
          <w:top w:val="nil"/>
          <w:left w:val="nil"/>
          <w:bottom w:val="nil"/>
          <w:right w:val="nil"/>
          <w:between w:val="nil"/>
        </w:pBdr>
        <w:tabs>
          <w:tab w:val="left" w:pos="792"/>
        </w:tabs>
        <w:spacing w:before="197"/>
        <w:jc w:val="both"/>
        <w:rPr>
          <w:rFonts w:ascii="Arial" w:eastAsia="Arial" w:hAnsi="Arial" w:cs="Arial"/>
          <w:color w:val="000000"/>
        </w:rPr>
      </w:pPr>
      <w:r>
        <w:rPr>
          <w:rFonts w:ascii="Arial" w:eastAsia="Arial" w:hAnsi="Arial" w:cs="Arial"/>
          <w:color w:val="000000"/>
        </w:rPr>
        <w:t>Las audiencias deberán ser grabadas y remitidas a las partes procesales</w:t>
      </w:r>
    </w:p>
    <w:p w14:paraId="11F2130A" w14:textId="77777777" w:rsidR="00CD23AE" w:rsidRDefault="00127FFC">
      <w:pPr>
        <w:numPr>
          <w:ilvl w:val="0"/>
          <w:numId w:val="70"/>
        </w:numPr>
        <w:pBdr>
          <w:top w:val="nil"/>
          <w:left w:val="nil"/>
          <w:bottom w:val="nil"/>
          <w:right w:val="nil"/>
          <w:between w:val="nil"/>
        </w:pBdr>
        <w:tabs>
          <w:tab w:val="left" w:pos="792"/>
        </w:tabs>
        <w:spacing w:before="197"/>
        <w:jc w:val="both"/>
        <w:rPr>
          <w:rFonts w:ascii="Arial" w:eastAsia="Arial" w:hAnsi="Arial" w:cs="Arial"/>
          <w:color w:val="000000"/>
        </w:rPr>
      </w:pPr>
      <w:r>
        <w:rPr>
          <w:rFonts w:ascii="Arial" w:eastAsia="Arial" w:hAnsi="Arial" w:cs="Arial"/>
          <w:color w:val="000000"/>
        </w:rPr>
        <w:t>Las partes que asistan a la audiencia se consideran notificadas de las decisiones dictadas en ella, en dicho acto.</w:t>
      </w:r>
    </w:p>
    <w:p w14:paraId="0ED127C0" w14:textId="77777777" w:rsidR="00CD23AE" w:rsidRDefault="00127FFC">
      <w:pPr>
        <w:numPr>
          <w:ilvl w:val="0"/>
          <w:numId w:val="70"/>
        </w:numPr>
        <w:pBdr>
          <w:top w:val="nil"/>
          <w:left w:val="nil"/>
          <w:bottom w:val="nil"/>
          <w:right w:val="nil"/>
          <w:between w:val="nil"/>
        </w:pBdr>
        <w:tabs>
          <w:tab w:val="left" w:pos="792"/>
        </w:tabs>
        <w:spacing w:before="197"/>
        <w:jc w:val="both"/>
        <w:rPr>
          <w:rFonts w:ascii="Arial" w:eastAsia="Arial" w:hAnsi="Arial" w:cs="Arial"/>
          <w:color w:val="000000"/>
        </w:rPr>
      </w:pPr>
      <w:r>
        <w:rPr>
          <w:rFonts w:ascii="Arial" w:eastAsia="Arial" w:hAnsi="Arial" w:cs="Arial"/>
          <w:color w:val="000000"/>
        </w:rPr>
        <w:t>La inasistencia de una o ambas partes no impide que los árbitros continúen con el desarrollo de las audiencias. Si asistiendo, se niegan a suscribir el acta respectiva, se deja constancia de ese hecho en el acta.</w:t>
      </w:r>
    </w:p>
    <w:p w14:paraId="08EE9E4F" w14:textId="77777777" w:rsidR="00CD23AE" w:rsidRDefault="00127FFC">
      <w:pPr>
        <w:numPr>
          <w:ilvl w:val="0"/>
          <w:numId w:val="11"/>
        </w:numPr>
        <w:pBdr>
          <w:top w:val="nil"/>
          <w:left w:val="nil"/>
          <w:bottom w:val="nil"/>
          <w:right w:val="nil"/>
          <w:between w:val="nil"/>
        </w:pBdr>
        <w:tabs>
          <w:tab w:val="left" w:pos="847"/>
        </w:tabs>
        <w:spacing w:before="236" w:line="273" w:lineRule="auto"/>
        <w:ind w:left="482" w:right="197" w:firstLine="0"/>
        <w:jc w:val="both"/>
        <w:rPr>
          <w:rFonts w:ascii="Arial" w:eastAsia="Arial" w:hAnsi="Arial" w:cs="Arial"/>
          <w:color w:val="000000"/>
        </w:rPr>
      </w:pPr>
      <w:r>
        <w:rPr>
          <w:rFonts w:ascii="Arial" w:eastAsia="Arial" w:hAnsi="Arial" w:cs="Arial"/>
          <w:color w:val="000000"/>
        </w:rPr>
        <w:t>El cronograma de audiencias puede modificarse de acuerdo con el desarrollo de las actuaciones arbitrales, debiendo los árbitros velar porque estas se realicen en fechas próximas.</w:t>
      </w:r>
    </w:p>
    <w:p w14:paraId="44EBCC4F" w14:textId="77777777" w:rsidR="005E41D0" w:rsidRDefault="005E41D0" w:rsidP="005E41D0">
      <w:pPr>
        <w:pStyle w:val="Ttulo6"/>
        <w:jc w:val="both"/>
        <w:rPr>
          <w:rFonts w:ascii="Arial" w:eastAsia="Arial" w:hAnsi="Arial" w:cs="Arial"/>
          <w:color w:val="916F41"/>
          <w:sz w:val="24"/>
          <w:szCs w:val="24"/>
        </w:rPr>
      </w:pPr>
    </w:p>
    <w:p w14:paraId="29FDA30D" w14:textId="0039CFF6" w:rsidR="00CD23AE" w:rsidRDefault="00127FFC" w:rsidP="005E41D0">
      <w:pPr>
        <w:pStyle w:val="Ttulo6"/>
        <w:jc w:val="both"/>
        <w:rPr>
          <w:rFonts w:ascii="Arial" w:eastAsia="Arial" w:hAnsi="Arial" w:cs="Arial"/>
          <w:sz w:val="24"/>
          <w:szCs w:val="24"/>
        </w:rPr>
      </w:pPr>
      <w:r>
        <w:rPr>
          <w:rFonts w:ascii="Arial" w:eastAsia="Arial" w:hAnsi="Arial" w:cs="Arial"/>
          <w:color w:val="916F41"/>
          <w:sz w:val="24"/>
          <w:szCs w:val="24"/>
        </w:rPr>
        <w:t>ARTÍCULO 50°. -</w:t>
      </w:r>
      <w:r>
        <w:rPr>
          <w:rFonts w:ascii="Arial" w:eastAsia="Arial" w:hAnsi="Arial" w:cs="Arial"/>
          <w:sz w:val="24"/>
          <w:szCs w:val="24"/>
        </w:rPr>
        <w:t xml:space="preserve"> DE LOS PERITOS E INFORMES PERICIALES</w:t>
      </w:r>
    </w:p>
    <w:p w14:paraId="026500B8" w14:textId="77777777" w:rsidR="00CD23AE" w:rsidRDefault="00127FFC">
      <w:pPr>
        <w:numPr>
          <w:ilvl w:val="0"/>
          <w:numId w:val="10"/>
        </w:numPr>
        <w:pBdr>
          <w:top w:val="nil"/>
          <w:left w:val="nil"/>
          <w:bottom w:val="nil"/>
          <w:right w:val="nil"/>
          <w:between w:val="nil"/>
        </w:pBdr>
        <w:tabs>
          <w:tab w:val="left" w:pos="791"/>
        </w:tabs>
        <w:spacing w:before="220" w:line="273" w:lineRule="auto"/>
        <w:ind w:left="482" w:right="197" w:firstLine="0"/>
        <w:jc w:val="both"/>
        <w:rPr>
          <w:rFonts w:ascii="Arial" w:eastAsia="Arial" w:hAnsi="Arial" w:cs="Arial"/>
          <w:color w:val="000000"/>
        </w:rPr>
      </w:pPr>
      <w:r>
        <w:rPr>
          <w:rFonts w:ascii="Arial" w:eastAsia="Arial" w:hAnsi="Arial" w:cs="Arial"/>
          <w:color w:val="000000"/>
        </w:rPr>
        <w:t>Las partes podrán aportar informes periciales elaborados por peritos libremente designados por ellas.</w:t>
      </w:r>
    </w:p>
    <w:p w14:paraId="77D941E5" w14:textId="77777777" w:rsidR="00CD23AE" w:rsidRDefault="00127FFC">
      <w:pPr>
        <w:numPr>
          <w:ilvl w:val="0"/>
          <w:numId w:val="10"/>
        </w:numPr>
        <w:pBdr>
          <w:top w:val="nil"/>
          <w:left w:val="nil"/>
          <w:bottom w:val="nil"/>
          <w:right w:val="nil"/>
          <w:between w:val="nil"/>
        </w:pBdr>
        <w:tabs>
          <w:tab w:val="left" w:pos="784"/>
        </w:tabs>
        <w:spacing w:before="192" w:line="273" w:lineRule="auto"/>
        <w:ind w:left="482" w:right="197" w:firstLine="0"/>
        <w:jc w:val="both"/>
        <w:rPr>
          <w:rFonts w:ascii="Arial" w:eastAsia="Arial" w:hAnsi="Arial" w:cs="Arial"/>
          <w:color w:val="000000"/>
        </w:rPr>
      </w:pPr>
      <w:r>
        <w:rPr>
          <w:rFonts w:ascii="Arial" w:eastAsia="Arial" w:hAnsi="Arial" w:cs="Arial"/>
          <w:color w:val="000000"/>
        </w:rPr>
        <w:t>Los árbitros pueden designar uno o más peritos, de oficio o a pedido de parte. En este último caso, se debe considerar las siguientes reglas:</w:t>
      </w:r>
    </w:p>
    <w:p w14:paraId="64C1F117" w14:textId="77777777" w:rsidR="00CD23AE" w:rsidRDefault="00CD23AE">
      <w:pPr>
        <w:pBdr>
          <w:top w:val="nil"/>
          <w:left w:val="nil"/>
          <w:bottom w:val="nil"/>
          <w:right w:val="nil"/>
          <w:between w:val="nil"/>
        </w:pBdr>
        <w:tabs>
          <w:tab w:val="left" w:pos="784"/>
        </w:tabs>
        <w:spacing w:before="192" w:line="273" w:lineRule="auto"/>
        <w:ind w:left="482" w:right="197"/>
        <w:jc w:val="both"/>
        <w:rPr>
          <w:rFonts w:ascii="Arial" w:eastAsia="Arial" w:hAnsi="Arial" w:cs="Arial"/>
          <w:color w:val="000000"/>
        </w:rPr>
      </w:pPr>
    </w:p>
    <w:p w14:paraId="7F4AFCB5" w14:textId="77777777" w:rsidR="00CD23AE" w:rsidRDefault="00127FFC">
      <w:pPr>
        <w:numPr>
          <w:ilvl w:val="0"/>
          <w:numId w:val="71"/>
        </w:numPr>
        <w:pBdr>
          <w:top w:val="nil"/>
          <w:left w:val="nil"/>
          <w:bottom w:val="nil"/>
          <w:right w:val="nil"/>
          <w:between w:val="nil"/>
        </w:pBdr>
        <w:tabs>
          <w:tab w:val="left" w:pos="784"/>
        </w:tabs>
        <w:spacing w:before="10" w:line="274" w:lineRule="auto"/>
        <w:ind w:left="1196" w:right="198" w:hanging="357"/>
        <w:jc w:val="both"/>
        <w:rPr>
          <w:rFonts w:ascii="Arial" w:eastAsia="Arial" w:hAnsi="Arial" w:cs="Arial"/>
          <w:color w:val="000000"/>
        </w:rPr>
      </w:pPr>
      <w:r>
        <w:rPr>
          <w:rFonts w:ascii="Arial" w:eastAsia="Arial" w:hAnsi="Arial" w:cs="Arial"/>
          <w:color w:val="000000"/>
        </w:rPr>
        <w:t>La designación efectuada por los árbitros no convierte la pericia en una prueba de oficio.</w:t>
      </w:r>
    </w:p>
    <w:p w14:paraId="7ACDA788" w14:textId="77777777" w:rsidR="00CD23AE" w:rsidRDefault="00127FFC">
      <w:pPr>
        <w:numPr>
          <w:ilvl w:val="0"/>
          <w:numId w:val="71"/>
        </w:numPr>
        <w:pBdr>
          <w:top w:val="nil"/>
          <w:left w:val="nil"/>
          <w:bottom w:val="nil"/>
          <w:right w:val="nil"/>
          <w:between w:val="nil"/>
        </w:pBdr>
        <w:tabs>
          <w:tab w:val="left" w:pos="784"/>
        </w:tabs>
        <w:spacing w:before="10" w:line="274" w:lineRule="auto"/>
        <w:ind w:left="1196" w:right="198" w:hanging="357"/>
        <w:jc w:val="both"/>
        <w:rPr>
          <w:rFonts w:ascii="Arial" w:eastAsia="Arial" w:hAnsi="Arial" w:cs="Arial"/>
          <w:color w:val="000000"/>
        </w:rPr>
      </w:pPr>
      <w:r>
        <w:rPr>
          <w:rFonts w:ascii="Arial" w:eastAsia="Arial" w:hAnsi="Arial" w:cs="Arial"/>
          <w:color w:val="000000"/>
        </w:rPr>
        <w:t>Admitida la prueba, la parte deberá adjuntar una lista de profesionales en el plazo de cinco (5) días hábiles, sin necesidad de previa notificación. La elección se realizará de manera aleatoria. La designación de dicho perito es inimpugnable. De no presentarse la lista se prescindirá de la pericia solicitada.</w:t>
      </w:r>
    </w:p>
    <w:p w14:paraId="3EA10F4E" w14:textId="77777777" w:rsidR="00CD23AE" w:rsidRDefault="00127FFC">
      <w:pPr>
        <w:numPr>
          <w:ilvl w:val="0"/>
          <w:numId w:val="71"/>
        </w:numPr>
        <w:pBdr>
          <w:top w:val="nil"/>
          <w:left w:val="nil"/>
          <w:bottom w:val="nil"/>
          <w:right w:val="nil"/>
          <w:between w:val="nil"/>
        </w:pBdr>
        <w:tabs>
          <w:tab w:val="left" w:pos="784"/>
        </w:tabs>
        <w:spacing w:before="10" w:line="274" w:lineRule="auto"/>
        <w:ind w:left="1196" w:right="198" w:hanging="357"/>
        <w:jc w:val="both"/>
        <w:rPr>
          <w:rFonts w:ascii="Arial" w:eastAsia="Arial" w:hAnsi="Arial" w:cs="Arial"/>
          <w:color w:val="000000"/>
        </w:rPr>
      </w:pPr>
      <w:r>
        <w:rPr>
          <w:rFonts w:ascii="Arial" w:eastAsia="Arial" w:hAnsi="Arial" w:cs="Arial"/>
          <w:color w:val="000000"/>
        </w:rPr>
        <w:t>La designación será comunicada a las partes, otorgándosele a la interesada el plazo para presentar el informe pericial.</w:t>
      </w:r>
    </w:p>
    <w:p w14:paraId="43D509C3" w14:textId="77777777" w:rsidR="00CD23AE" w:rsidRDefault="00127FFC">
      <w:pPr>
        <w:numPr>
          <w:ilvl w:val="0"/>
          <w:numId w:val="71"/>
        </w:numPr>
        <w:pBdr>
          <w:top w:val="nil"/>
          <w:left w:val="nil"/>
          <w:bottom w:val="nil"/>
          <w:right w:val="nil"/>
          <w:between w:val="nil"/>
        </w:pBdr>
        <w:tabs>
          <w:tab w:val="left" w:pos="784"/>
        </w:tabs>
        <w:spacing w:before="10" w:line="274" w:lineRule="auto"/>
        <w:ind w:left="1196" w:right="198" w:hanging="357"/>
        <w:jc w:val="both"/>
        <w:rPr>
          <w:rFonts w:ascii="Arial" w:eastAsia="Arial" w:hAnsi="Arial" w:cs="Arial"/>
          <w:color w:val="000000"/>
        </w:rPr>
      </w:pPr>
      <w:r>
        <w:rPr>
          <w:rFonts w:ascii="Arial" w:eastAsia="Arial" w:hAnsi="Arial" w:cs="Arial"/>
          <w:color w:val="000000"/>
        </w:rPr>
        <w:t>Una vez designado el perito, la parte interesada deberá coordinar directamente con él los asuntos necesarios a fin de cumplir con el plazo establecido por los árbitros para la entrega del Informe Pericial.</w:t>
      </w:r>
    </w:p>
    <w:p w14:paraId="5EE4634B" w14:textId="77777777" w:rsidR="00CD23AE" w:rsidRDefault="00127FFC">
      <w:pPr>
        <w:numPr>
          <w:ilvl w:val="0"/>
          <w:numId w:val="10"/>
        </w:numPr>
        <w:pBdr>
          <w:top w:val="nil"/>
          <w:left w:val="nil"/>
          <w:bottom w:val="nil"/>
          <w:right w:val="nil"/>
          <w:between w:val="nil"/>
        </w:pBdr>
        <w:tabs>
          <w:tab w:val="left" w:pos="818"/>
        </w:tabs>
        <w:spacing w:before="221" w:line="273" w:lineRule="auto"/>
        <w:ind w:left="482" w:right="197" w:firstLine="0"/>
        <w:jc w:val="both"/>
        <w:rPr>
          <w:rFonts w:ascii="Arial" w:eastAsia="Arial" w:hAnsi="Arial" w:cs="Arial"/>
          <w:color w:val="000000"/>
        </w:rPr>
      </w:pPr>
      <w:r>
        <w:rPr>
          <w:rFonts w:ascii="Arial" w:eastAsia="Arial" w:hAnsi="Arial" w:cs="Arial"/>
          <w:color w:val="000000"/>
        </w:rPr>
        <w:t>En el caso de peritos de oficio, los árbitros establecen el objeto de la pericia, estando facultados para requerirles el cumplimiento de su labor en los términos convenidos, bajo apercibimiento de relevarlos del cargo y disponer la devolución de los honorarios a que haya lugar.</w:t>
      </w:r>
    </w:p>
    <w:p w14:paraId="7AC20BD6" w14:textId="77777777" w:rsidR="00CD23AE" w:rsidRDefault="00127FFC">
      <w:pPr>
        <w:numPr>
          <w:ilvl w:val="0"/>
          <w:numId w:val="10"/>
        </w:numPr>
        <w:pBdr>
          <w:top w:val="nil"/>
          <w:left w:val="nil"/>
          <w:bottom w:val="nil"/>
          <w:right w:val="nil"/>
          <w:between w:val="nil"/>
        </w:pBdr>
        <w:tabs>
          <w:tab w:val="left" w:pos="813"/>
        </w:tabs>
        <w:spacing w:before="175" w:line="273" w:lineRule="auto"/>
        <w:ind w:left="482" w:right="197" w:firstLine="0"/>
        <w:jc w:val="both"/>
        <w:rPr>
          <w:rFonts w:ascii="Arial" w:eastAsia="Arial" w:hAnsi="Arial" w:cs="Arial"/>
          <w:color w:val="000000"/>
        </w:rPr>
      </w:pPr>
      <w:r>
        <w:rPr>
          <w:rFonts w:ascii="Arial" w:eastAsia="Arial" w:hAnsi="Arial" w:cs="Arial"/>
          <w:color w:val="000000"/>
        </w:rPr>
        <w:t>Los árbitros pueden ordenar a cualquiera de las partes, la entrega de la información que sea necesaria, así como facilitar su acceso para cumplir con la elaboración de cualquier pericia.</w:t>
      </w:r>
    </w:p>
    <w:p w14:paraId="014CF78C" w14:textId="77777777" w:rsidR="00CD23AE" w:rsidRDefault="00CD23AE">
      <w:pPr>
        <w:pBdr>
          <w:top w:val="nil"/>
          <w:left w:val="nil"/>
          <w:bottom w:val="nil"/>
          <w:right w:val="nil"/>
          <w:between w:val="nil"/>
        </w:pBdr>
        <w:spacing w:before="47"/>
        <w:jc w:val="both"/>
        <w:rPr>
          <w:rFonts w:ascii="Arial" w:eastAsia="Arial" w:hAnsi="Arial" w:cs="Arial"/>
          <w:color w:val="000000"/>
        </w:rPr>
      </w:pPr>
    </w:p>
    <w:p w14:paraId="05C49581" w14:textId="77777777" w:rsidR="005E41D0" w:rsidRDefault="005E41D0" w:rsidP="005E41D0">
      <w:pPr>
        <w:pStyle w:val="Ttulo6"/>
        <w:jc w:val="both"/>
        <w:rPr>
          <w:rFonts w:ascii="Arial" w:eastAsia="Arial" w:hAnsi="Arial" w:cs="Arial"/>
          <w:color w:val="916F41"/>
          <w:sz w:val="24"/>
          <w:szCs w:val="24"/>
        </w:rPr>
      </w:pPr>
    </w:p>
    <w:p w14:paraId="00C1716E" w14:textId="2509D888" w:rsidR="00CD23AE" w:rsidRDefault="00127FFC" w:rsidP="005E41D0">
      <w:pPr>
        <w:pStyle w:val="Ttulo6"/>
        <w:jc w:val="both"/>
        <w:rPr>
          <w:rFonts w:ascii="Arial" w:eastAsia="Arial" w:hAnsi="Arial" w:cs="Arial"/>
          <w:sz w:val="24"/>
          <w:szCs w:val="24"/>
        </w:rPr>
      </w:pPr>
      <w:r>
        <w:rPr>
          <w:rFonts w:ascii="Arial" w:eastAsia="Arial" w:hAnsi="Arial" w:cs="Arial"/>
          <w:color w:val="916F41"/>
          <w:sz w:val="24"/>
          <w:szCs w:val="24"/>
        </w:rPr>
        <w:lastRenderedPageBreak/>
        <w:t xml:space="preserve">ARTÍCULO 51°. - </w:t>
      </w:r>
      <w:r>
        <w:rPr>
          <w:rFonts w:ascii="Arial" w:eastAsia="Arial" w:hAnsi="Arial" w:cs="Arial"/>
          <w:sz w:val="24"/>
          <w:szCs w:val="24"/>
        </w:rPr>
        <w:t>TRÁMITE DEL INFORME PERICIAL</w:t>
      </w:r>
    </w:p>
    <w:p w14:paraId="18294BF3" w14:textId="77777777" w:rsidR="00CD23AE" w:rsidRDefault="00127FFC">
      <w:pPr>
        <w:numPr>
          <w:ilvl w:val="0"/>
          <w:numId w:val="9"/>
        </w:numPr>
        <w:pBdr>
          <w:top w:val="nil"/>
          <w:left w:val="nil"/>
          <w:bottom w:val="nil"/>
          <w:right w:val="nil"/>
          <w:between w:val="nil"/>
        </w:pBdr>
        <w:tabs>
          <w:tab w:val="left" w:pos="864"/>
        </w:tabs>
        <w:spacing w:before="205" w:line="273" w:lineRule="auto"/>
        <w:ind w:left="482" w:right="197" w:firstLine="0"/>
        <w:jc w:val="both"/>
        <w:rPr>
          <w:rFonts w:ascii="Arial" w:eastAsia="Arial" w:hAnsi="Arial" w:cs="Arial"/>
          <w:color w:val="000000"/>
        </w:rPr>
      </w:pPr>
      <w:r>
        <w:rPr>
          <w:rFonts w:ascii="Arial" w:eastAsia="Arial" w:hAnsi="Arial" w:cs="Arial"/>
          <w:color w:val="000000"/>
        </w:rPr>
        <w:t>Los peritos deben presentar su informe pericial, conforme a lo establecido en el artículo 10° del presente Reglamento.</w:t>
      </w:r>
    </w:p>
    <w:p w14:paraId="03537718" w14:textId="77777777" w:rsidR="00CD23AE" w:rsidRDefault="00127FFC">
      <w:pPr>
        <w:numPr>
          <w:ilvl w:val="0"/>
          <w:numId w:val="9"/>
        </w:numPr>
        <w:pBdr>
          <w:top w:val="nil"/>
          <w:left w:val="nil"/>
          <w:bottom w:val="nil"/>
          <w:right w:val="nil"/>
          <w:between w:val="nil"/>
        </w:pBdr>
        <w:tabs>
          <w:tab w:val="left" w:pos="807"/>
        </w:tabs>
        <w:spacing w:before="177" w:line="273" w:lineRule="auto"/>
        <w:ind w:left="482" w:right="197" w:firstLine="0"/>
        <w:jc w:val="both"/>
        <w:rPr>
          <w:rFonts w:ascii="Arial" w:eastAsia="Arial" w:hAnsi="Arial" w:cs="Arial"/>
          <w:color w:val="000000"/>
        </w:rPr>
      </w:pPr>
      <w:r>
        <w:rPr>
          <w:rFonts w:ascii="Arial" w:eastAsia="Arial" w:hAnsi="Arial" w:cs="Arial"/>
          <w:color w:val="000000"/>
        </w:rPr>
        <w:t>Los árbitros notifican a las partes con el informe pericial por un plazo equivalente al establecido para la entrega de éste, a efectos de que expresen su opinión u observaciones acerca del referido Informe, salvo que, por las circunstancias del caso, los árbitros otorguen un plazo distinto.</w:t>
      </w:r>
    </w:p>
    <w:p w14:paraId="340C7553" w14:textId="77777777" w:rsidR="00CD23AE" w:rsidRDefault="00127FFC">
      <w:pPr>
        <w:numPr>
          <w:ilvl w:val="0"/>
          <w:numId w:val="9"/>
        </w:numPr>
        <w:pBdr>
          <w:top w:val="nil"/>
          <w:left w:val="nil"/>
          <w:bottom w:val="nil"/>
          <w:right w:val="nil"/>
          <w:between w:val="nil"/>
        </w:pBdr>
        <w:tabs>
          <w:tab w:val="left" w:pos="763"/>
        </w:tabs>
        <w:spacing w:before="175" w:line="273" w:lineRule="auto"/>
        <w:ind w:left="482" w:right="197" w:firstLine="0"/>
        <w:jc w:val="both"/>
        <w:rPr>
          <w:rFonts w:ascii="Arial" w:eastAsia="Arial" w:hAnsi="Arial" w:cs="Arial"/>
          <w:color w:val="000000"/>
        </w:rPr>
      </w:pPr>
      <w:r>
        <w:rPr>
          <w:rFonts w:ascii="Arial" w:eastAsia="Arial" w:hAnsi="Arial" w:cs="Arial"/>
          <w:color w:val="000000"/>
        </w:rPr>
        <w:t>Las partes tienen derecho a examinar cualquier documento que el perito haya invocado, debiendo el perito facilitar el acceso a estos.</w:t>
      </w:r>
    </w:p>
    <w:p w14:paraId="5CFDC9AE" w14:textId="77777777" w:rsidR="00CD23AE" w:rsidRDefault="00127FFC">
      <w:pPr>
        <w:numPr>
          <w:ilvl w:val="0"/>
          <w:numId w:val="9"/>
        </w:numPr>
        <w:pBdr>
          <w:top w:val="nil"/>
          <w:left w:val="nil"/>
          <w:bottom w:val="nil"/>
          <w:right w:val="nil"/>
          <w:between w:val="nil"/>
        </w:pBdr>
        <w:tabs>
          <w:tab w:val="left" w:pos="943"/>
        </w:tabs>
        <w:spacing w:before="177" w:line="273" w:lineRule="auto"/>
        <w:ind w:left="482" w:right="197" w:firstLine="0"/>
        <w:jc w:val="both"/>
        <w:rPr>
          <w:rFonts w:ascii="Arial" w:eastAsia="Arial" w:hAnsi="Arial" w:cs="Arial"/>
          <w:color w:val="000000"/>
        </w:rPr>
      </w:pPr>
      <w:r>
        <w:rPr>
          <w:rFonts w:ascii="Arial" w:eastAsia="Arial" w:hAnsi="Arial" w:cs="Arial"/>
          <w:color w:val="000000"/>
        </w:rPr>
        <w:t>Las observaciones u opiniones de las partes serán puestas en conocimiento del perito para su absolución, luego de lo cual se puede convocar a una audiencia de sustentación pericial, si lo solicitaran las partes o los árbitros lo consideran necesario. El objeto de la audiencia será la sustentación que el perito haga de su informe, así como de las absoluciones a las observaciones, si las hubiere. Los árbitros darán oportunidad a las partes y a sus asesores o peritos, para que le efectúen las preguntas que consideren convenientes.</w:t>
      </w:r>
    </w:p>
    <w:p w14:paraId="096995C0" w14:textId="77777777" w:rsidR="005E41D0" w:rsidRDefault="005E41D0" w:rsidP="005E41D0">
      <w:pPr>
        <w:pStyle w:val="Ttulo6"/>
        <w:spacing w:line="268" w:lineRule="auto"/>
        <w:ind w:right="248"/>
        <w:jc w:val="both"/>
        <w:rPr>
          <w:rFonts w:ascii="Arial" w:eastAsia="Arial" w:hAnsi="Arial" w:cs="Arial"/>
          <w:color w:val="916F41"/>
          <w:sz w:val="24"/>
          <w:szCs w:val="24"/>
        </w:rPr>
      </w:pPr>
    </w:p>
    <w:p w14:paraId="1B1AAF7B" w14:textId="61A81CE6" w:rsidR="00CD23AE" w:rsidRDefault="00127FFC" w:rsidP="005E41D0">
      <w:pPr>
        <w:pStyle w:val="Ttulo6"/>
        <w:spacing w:line="268" w:lineRule="auto"/>
        <w:ind w:right="248"/>
        <w:jc w:val="both"/>
        <w:rPr>
          <w:rFonts w:ascii="Arial" w:eastAsia="Arial" w:hAnsi="Arial" w:cs="Arial"/>
          <w:sz w:val="24"/>
          <w:szCs w:val="24"/>
        </w:rPr>
      </w:pPr>
      <w:r>
        <w:rPr>
          <w:rFonts w:ascii="Arial" w:eastAsia="Arial" w:hAnsi="Arial" w:cs="Arial"/>
          <w:color w:val="916F41"/>
          <w:sz w:val="24"/>
          <w:szCs w:val="24"/>
        </w:rPr>
        <w:t xml:space="preserve">ARTÍCULO 52°. - </w:t>
      </w:r>
      <w:r>
        <w:rPr>
          <w:rFonts w:ascii="Arial" w:eastAsia="Arial" w:hAnsi="Arial" w:cs="Arial"/>
          <w:sz w:val="24"/>
          <w:szCs w:val="24"/>
        </w:rPr>
        <w:t>ACTUACIÓN DE PERITOS, TESTIGOS Y DECLARACIONES DE PARTE</w:t>
      </w:r>
    </w:p>
    <w:p w14:paraId="69CAB382" w14:textId="77777777" w:rsidR="00CD23AE" w:rsidRDefault="00127FFC">
      <w:pPr>
        <w:pBdr>
          <w:top w:val="nil"/>
          <w:left w:val="nil"/>
          <w:bottom w:val="nil"/>
          <w:right w:val="nil"/>
          <w:between w:val="nil"/>
        </w:pBdr>
        <w:spacing w:before="92" w:line="273" w:lineRule="auto"/>
        <w:ind w:left="482"/>
        <w:jc w:val="both"/>
        <w:rPr>
          <w:rFonts w:ascii="Arial" w:eastAsia="Arial" w:hAnsi="Arial" w:cs="Arial"/>
          <w:color w:val="000000"/>
        </w:rPr>
      </w:pPr>
      <w:r>
        <w:rPr>
          <w:rFonts w:ascii="Arial" w:eastAsia="Arial" w:hAnsi="Arial" w:cs="Arial"/>
          <w:color w:val="000000"/>
        </w:rPr>
        <w:t>Para la actuación de peritos, testigos y declaraciones de parte, se observan las siguientes reglas:</w:t>
      </w:r>
    </w:p>
    <w:p w14:paraId="20557A6A" w14:textId="77777777" w:rsidR="00CD23AE" w:rsidRDefault="00127FFC">
      <w:pPr>
        <w:numPr>
          <w:ilvl w:val="0"/>
          <w:numId w:val="8"/>
        </w:numPr>
        <w:pBdr>
          <w:top w:val="nil"/>
          <w:left w:val="nil"/>
          <w:bottom w:val="nil"/>
          <w:right w:val="nil"/>
          <w:between w:val="nil"/>
        </w:pBdr>
        <w:tabs>
          <w:tab w:val="left" w:pos="739"/>
        </w:tabs>
        <w:spacing w:line="274" w:lineRule="auto"/>
        <w:ind w:left="482" w:right="198" w:firstLine="0"/>
        <w:jc w:val="both"/>
        <w:rPr>
          <w:rFonts w:ascii="Arial" w:eastAsia="Arial" w:hAnsi="Arial" w:cs="Arial"/>
          <w:color w:val="000000"/>
        </w:rPr>
      </w:pPr>
      <w:r>
        <w:rPr>
          <w:rFonts w:ascii="Arial" w:eastAsia="Arial" w:hAnsi="Arial" w:cs="Arial"/>
          <w:color w:val="000000"/>
        </w:rPr>
        <w:t>Los árbitros dirigen las audiencias atendiendo a los principios señalados en el artículo 35°. Las audiencias programadas pueden ser realizadas por cualquier medio.</w:t>
      </w:r>
    </w:p>
    <w:p w14:paraId="0A45F579" w14:textId="77777777" w:rsidR="00CD23AE" w:rsidRDefault="00127FFC">
      <w:pPr>
        <w:numPr>
          <w:ilvl w:val="0"/>
          <w:numId w:val="8"/>
        </w:numPr>
        <w:pBdr>
          <w:top w:val="nil"/>
          <w:left w:val="nil"/>
          <w:bottom w:val="nil"/>
          <w:right w:val="nil"/>
          <w:between w:val="nil"/>
        </w:pBdr>
        <w:tabs>
          <w:tab w:val="left" w:pos="799"/>
        </w:tabs>
        <w:spacing w:line="274" w:lineRule="auto"/>
        <w:ind w:left="482" w:right="198" w:firstLine="0"/>
        <w:jc w:val="both"/>
        <w:rPr>
          <w:rFonts w:ascii="Arial" w:eastAsia="Arial" w:hAnsi="Arial" w:cs="Arial"/>
          <w:color w:val="000000"/>
        </w:rPr>
      </w:pPr>
      <w:r>
        <w:rPr>
          <w:rFonts w:ascii="Arial" w:eastAsia="Arial" w:hAnsi="Arial" w:cs="Arial"/>
          <w:color w:val="000000"/>
        </w:rPr>
        <w:t>Las partes deben indicar en el documento donde ofrecen la prueba el nombre, dirección y de ser posible el correo electrónico de los testigos, el objeto de su testimonio y su implicancia en la solución de la controversia. Será de cargo de la parte que ofrece el testigo la presencia de éste en la Audiencia, de ser el caso.</w:t>
      </w:r>
    </w:p>
    <w:p w14:paraId="38E6E8F1" w14:textId="77777777" w:rsidR="00CD23AE" w:rsidRDefault="00127FFC">
      <w:pPr>
        <w:numPr>
          <w:ilvl w:val="0"/>
          <w:numId w:val="8"/>
        </w:numPr>
        <w:pBdr>
          <w:top w:val="nil"/>
          <w:left w:val="nil"/>
          <w:bottom w:val="nil"/>
          <w:right w:val="nil"/>
          <w:between w:val="nil"/>
        </w:pBdr>
        <w:tabs>
          <w:tab w:val="left" w:pos="777"/>
        </w:tabs>
        <w:spacing w:line="274" w:lineRule="auto"/>
        <w:ind w:left="482" w:right="198" w:firstLine="0"/>
        <w:jc w:val="both"/>
        <w:rPr>
          <w:rFonts w:ascii="Arial" w:eastAsia="Arial" w:hAnsi="Arial" w:cs="Arial"/>
          <w:color w:val="000000"/>
        </w:rPr>
      </w:pPr>
      <w:r>
        <w:rPr>
          <w:rFonts w:ascii="Arial" w:eastAsia="Arial" w:hAnsi="Arial" w:cs="Arial"/>
          <w:color w:val="000000"/>
        </w:rPr>
        <w:t>Las partes, los testigos y los peritos están obligados a declarar la verdad, quedando sujetos a las responsabilidades que establece la ley.</w:t>
      </w:r>
    </w:p>
    <w:p w14:paraId="0D83320E" w14:textId="77777777" w:rsidR="00CD23AE" w:rsidRDefault="00127FFC">
      <w:pPr>
        <w:numPr>
          <w:ilvl w:val="0"/>
          <w:numId w:val="8"/>
        </w:numPr>
        <w:pBdr>
          <w:top w:val="nil"/>
          <w:left w:val="nil"/>
          <w:bottom w:val="nil"/>
          <w:right w:val="nil"/>
          <w:between w:val="nil"/>
        </w:pBdr>
        <w:tabs>
          <w:tab w:val="left" w:pos="865"/>
        </w:tabs>
        <w:spacing w:line="274" w:lineRule="auto"/>
        <w:ind w:left="482" w:right="198" w:firstLine="0"/>
        <w:jc w:val="both"/>
        <w:rPr>
          <w:rFonts w:ascii="Arial" w:eastAsia="Arial" w:hAnsi="Arial" w:cs="Arial"/>
          <w:color w:val="000000"/>
        </w:rPr>
      </w:pPr>
      <w:r>
        <w:rPr>
          <w:rFonts w:ascii="Arial" w:eastAsia="Arial" w:hAnsi="Arial" w:cs="Arial"/>
          <w:color w:val="000000"/>
        </w:rPr>
        <w:t>En la audiencia respectiva, las partes pueden interrogar a cualquier declarante. Asimismo, los árbitros pueden formular preguntas en cualquier etapa de la exposición de los declarantes.</w:t>
      </w:r>
    </w:p>
    <w:p w14:paraId="7D240804" w14:textId="77777777" w:rsidR="00CD23AE" w:rsidRDefault="00127FFC">
      <w:pPr>
        <w:numPr>
          <w:ilvl w:val="0"/>
          <w:numId w:val="8"/>
        </w:numPr>
        <w:pBdr>
          <w:top w:val="nil"/>
          <w:left w:val="nil"/>
          <w:bottom w:val="nil"/>
          <w:right w:val="nil"/>
          <w:between w:val="nil"/>
        </w:pBdr>
        <w:tabs>
          <w:tab w:val="left" w:pos="818"/>
        </w:tabs>
        <w:spacing w:line="274" w:lineRule="auto"/>
        <w:ind w:left="482" w:right="198" w:firstLine="0"/>
        <w:jc w:val="both"/>
        <w:rPr>
          <w:rFonts w:ascii="Arial" w:eastAsia="Arial" w:hAnsi="Arial" w:cs="Arial"/>
          <w:color w:val="000000"/>
        </w:rPr>
      </w:pPr>
      <w:r>
        <w:rPr>
          <w:rFonts w:ascii="Arial" w:eastAsia="Arial" w:hAnsi="Arial" w:cs="Arial"/>
          <w:color w:val="000000"/>
        </w:rPr>
        <w:t>Si el testigo o perito no acude a la audiencia convocada, los árbitros están facultados para citarlo nuevamente o prescindir de la prueba.</w:t>
      </w:r>
    </w:p>
    <w:p w14:paraId="6A5485D9" w14:textId="77777777" w:rsidR="00CD23AE" w:rsidRDefault="00127FFC">
      <w:pPr>
        <w:numPr>
          <w:ilvl w:val="0"/>
          <w:numId w:val="8"/>
        </w:numPr>
        <w:pBdr>
          <w:top w:val="nil"/>
          <w:left w:val="nil"/>
          <w:bottom w:val="nil"/>
          <w:right w:val="nil"/>
          <w:between w:val="nil"/>
        </w:pBdr>
        <w:tabs>
          <w:tab w:val="left" w:pos="818"/>
        </w:tabs>
        <w:spacing w:line="274" w:lineRule="auto"/>
        <w:ind w:left="482" w:right="198" w:firstLine="0"/>
        <w:jc w:val="both"/>
        <w:rPr>
          <w:rFonts w:ascii="Arial" w:eastAsia="Arial" w:hAnsi="Arial" w:cs="Arial"/>
          <w:color w:val="000000"/>
        </w:rPr>
      </w:pPr>
      <w:r>
        <w:rPr>
          <w:rFonts w:ascii="Arial" w:eastAsia="Arial" w:hAnsi="Arial" w:cs="Arial"/>
          <w:color w:val="000000"/>
        </w:rPr>
        <w:t>Por decisión de los árbitros, las declaraciones pueden presentarse por escrito en un documento con firma legalizada por funcionario pertinente. Los árbitros pueden supeditar la admisibilidad de las declaraciones por escrito a la disponibilidad de los declarantes para concurrir a una Audiencia.</w:t>
      </w:r>
    </w:p>
    <w:p w14:paraId="21FB00A4" w14:textId="77777777" w:rsidR="005E41D0" w:rsidRDefault="005E41D0" w:rsidP="005E41D0">
      <w:pPr>
        <w:pStyle w:val="Ttulo6"/>
        <w:spacing w:before="1"/>
        <w:jc w:val="both"/>
        <w:rPr>
          <w:rFonts w:ascii="Arial" w:eastAsia="Arial" w:hAnsi="Arial" w:cs="Arial"/>
          <w:color w:val="916F41"/>
          <w:sz w:val="24"/>
          <w:szCs w:val="24"/>
        </w:rPr>
      </w:pPr>
    </w:p>
    <w:p w14:paraId="59A96B87" w14:textId="32A29355" w:rsidR="00CD23AE" w:rsidRDefault="00127FFC" w:rsidP="005E41D0">
      <w:pPr>
        <w:pStyle w:val="Ttulo6"/>
        <w:spacing w:before="1"/>
        <w:jc w:val="both"/>
        <w:rPr>
          <w:rFonts w:ascii="Arial" w:eastAsia="Arial" w:hAnsi="Arial" w:cs="Arial"/>
          <w:sz w:val="24"/>
          <w:szCs w:val="24"/>
        </w:rPr>
      </w:pPr>
      <w:r>
        <w:rPr>
          <w:rFonts w:ascii="Arial" w:eastAsia="Arial" w:hAnsi="Arial" w:cs="Arial"/>
          <w:color w:val="916F41"/>
          <w:sz w:val="24"/>
          <w:szCs w:val="24"/>
        </w:rPr>
        <w:t xml:space="preserve">ARTÍCULO 53°. - </w:t>
      </w:r>
      <w:r>
        <w:rPr>
          <w:rFonts w:ascii="Arial" w:eastAsia="Arial" w:hAnsi="Arial" w:cs="Arial"/>
          <w:sz w:val="24"/>
          <w:szCs w:val="24"/>
        </w:rPr>
        <w:t>CIERRE DE ACTUACIONES Y PLAZO PARA LAUDAR</w:t>
      </w:r>
    </w:p>
    <w:p w14:paraId="538EF920" w14:textId="77777777" w:rsidR="00CD23AE" w:rsidRDefault="00127FFC">
      <w:pPr>
        <w:numPr>
          <w:ilvl w:val="0"/>
          <w:numId w:val="7"/>
        </w:numPr>
        <w:pBdr>
          <w:top w:val="nil"/>
          <w:left w:val="nil"/>
          <w:bottom w:val="nil"/>
          <w:right w:val="nil"/>
          <w:between w:val="nil"/>
        </w:pBdr>
        <w:tabs>
          <w:tab w:val="left" w:pos="809"/>
        </w:tabs>
        <w:spacing w:before="189" w:line="273" w:lineRule="auto"/>
        <w:ind w:left="482" w:right="197" w:firstLine="0"/>
        <w:jc w:val="both"/>
        <w:rPr>
          <w:rFonts w:ascii="Arial" w:eastAsia="Arial" w:hAnsi="Arial" w:cs="Arial"/>
          <w:color w:val="000000"/>
        </w:rPr>
      </w:pPr>
      <w:r>
        <w:rPr>
          <w:rFonts w:ascii="Arial" w:eastAsia="Arial" w:hAnsi="Arial" w:cs="Arial"/>
          <w:color w:val="000000"/>
        </w:rPr>
        <w:t>Una vez actuadas las pruebas y escuchadas las partes, los árbitros declaran el cierre de las actuaciones arbitrales. En el mismo acto, los árbitros fijan el plazo para laudar de conformidad con lo dispuesto en el presente Reglamento. Las partes no pueden presentar escrito alguno una vez declarado el cierre de las actuaciones arbitrales, salvo requerimiento efectuado por los árbitros.</w:t>
      </w:r>
    </w:p>
    <w:p w14:paraId="2EF82DB9" w14:textId="35546879" w:rsidR="00CD23AE" w:rsidRDefault="00127FFC">
      <w:pPr>
        <w:numPr>
          <w:ilvl w:val="0"/>
          <w:numId w:val="7"/>
        </w:numPr>
        <w:pBdr>
          <w:top w:val="nil"/>
          <w:left w:val="nil"/>
          <w:bottom w:val="nil"/>
          <w:right w:val="nil"/>
          <w:between w:val="nil"/>
        </w:pBdr>
        <w:tabs>
          <w:tab w:val="left" w:pos="802"/>
        </w:tabs>
        <w:spacing w:before="158" w:line="273" w:lineRule="auto"/>
        <w:ind w:left="482" w:right="197" w:firstLine="0"/>
        <w:jc w:val="both"/>
        <w:rPr>
          <w:rFonts w:ascii="Arial" w:eastAsia="Arial" w:hAnsi="Arial" w:cs="Arial"/>
          <w:color w:val="000000"/>
        </w:rPr>
      </w:pPr>
      <w:r>
        <w:rPr>
          <w:rFonts w:ascii="Arial" w:eastAsia="Arial" w:hAnsi="Arial" w:cs="Arial"/>
          <w:color w:val="000000"/>
        </w:rPr>
        <w:t>Sólo cuando las partes hubieran pactado un plazo para la emisión del laudo que resulte inferior al previsto en el presente Reglamento, o en general, cualquier otro plazo que pudiera afectarlo, los árbitros pueden sustituirlo por el plazo señalado en el párrafo anterior o adecuarlo bajo los mismos términos.</w:t>
      </w:r>
    </w:p>
    <w:p w14:paraId="0238BC15" w14:textId="77777777" w:rsidR="005E41D0" w:rsidRDefault="005E41D0" w:rsidP="005E41D0">
      <w:pPr>
        <w:pBdr>
          <w:top w:val="nil"/>
          <w:left w:val="nil"/>
          <w:bottom w:val="nil"/>
          <w:right w:val="nil"/>
          <w:between w:val="nil"/>
        </w:pBdr>
        <w:tabs>
          <w:tab w:val="left" w:pos="802"/>
        </w:tabs>
        <w:spacing w:before="158" w:line="273" w:lineRule="auto"/>
        <w:ind w:left="482" w:right="197"/>
        <w:jc w:val="both"/>
        <w:rPr>
          <w:rFonts w:ascii="Arial" w:eastAsia="Arial" w:hAnsi="Arial" w:cs="Arial"/>
          <w:color w:val="000000"/>
        </w:rPr>
      </w:pPr>
    </w:p>
    <w:p w14:paraId="01FED7AB" w14:textId="77777777" w:rsidR="00CD23AE" w:rsidRDefault="00127FFC" w:rsidP="005E41D0">
      <w:pPr>
        <w:pStyle w:val="Ttulo2"/>
        <w:spacing w:before="216"/>
        <w:jc w:val="both"/>
        <w:rPr>
          <w:rFonts w:ascii="Arial" w:eastAsia="Arial" w:hAnsi="Arial" w:cs="Arial"/>
          <w:b/>
          <w:color w:val="E80303"/>
          <w:sz w:val="26"/>
          <w:szCs w:val="26"/>
        </w:rPr>
      </w:pPr>
      <w:bookmarkStart w:id="11" w:name="_heading=h.l2u5mv9dynja" w:colFirst="0" w:colLast="0"/>
      <w:bookmarkEnd w:id="11"/>
      <w:r>
        <w:rPr>
          <w:rFonts w:ascii="Arial" w:eastAsia="Arial" w:hAnsi="Arial" w:cs="Arial"/>
          <w:b/>
          <w:color w:val="E80303"/>
          <w:sz w:val="26"/>
          <w:szCs w:val="26"/>
        </w:rPr>
        <w:lastRenderedPageBreak/>
        <w:t>CAPÍTULO III: EL LAUDO</w:t>
      </w:r>
    </w:p>
    <w:p w14:paraId="28A47D36" w14:textId="77777777" w:rsidR="00CD23AE" w:rsidRDefault="00127FFC" w:rsidP="005E41D0">
      <w:pPr>
        <w:pStyle w:val="Ttulo6"/>
        <w:tabs>
          <w:tab w:val="left" w:pos="2239"/>
          <w:tab w:val="left" w:pos="3064"/>
          <w:tab w:val="left" w:pos="3492"/>
          <w:tab w:val="left" w:pos="5018"/>
          <w:tab w:val="left" w:pos="7014"/>
          <w:tab w:val="left" w:pos="7690"/>
          <w:tab w:val="left" w:pos="9018"/>
          <w:tab w:val="left" w:pos="9726"/>
        </w:tabs>
        <w:spacing w:before="240" w:line="268" w:lineRule="auto"/>
        <w:ind w:right="136"/>
        <w:jc w:val="both"/>
        <w:rPr>
          <w:rFonts w:ascii="Arial" w:eastAsia="Arial" w:hAnsi="Arial" w:cs="Arial"/>
          <w:color w:val="916F41"/>
          <w:sz w:val="24"/>
          <w:szCs w:val="24"/>
        </w:rPr>
      </w:pPr>
      <w:r>
        <w:rPr>
          <w:rFonts w:ascii="Arial" w:eastAsia="Arial" w:hAnsi="Arial" w:cs="Arial"/>
          <w:color w:val="916F41"/>
          <w:sz w:val="24"/>
          <w:szCs w:val="24"/>
        </w:rPr>
        <w:t>ARTÍCULO</w:t>
      </w:r>
      <w:r>
        <w:rPr>
          <w:rFonts w:ascii="Arial" w:eastAsia="Arial" w:hAnsi="Arial" w:cs="Arial"/>
          <w:color w:val="916F41"/>
          <w:sz w:val="24"/>
          <w:szCs w:val="24"/>
        </w:rPr>
        <w:tab/>
        <w:t>54°.</w:t>
      </w:r>
      <w:r>
        <w:rPr>
          <w:rFonts w:ascii="Arial" w:eastAsia="Arial" w:hAnsi="Arial" w:cs="Arial"/>
          <w:color w:val="916F41"/>
          <w:sz w:val="24"/>
          <w:szCs w:val="24"/>
        </w:rPr>
        <w:tab/>
        <w:t>-</w:t>
      </w:r>
      <w:r>
        <w:rPr>
          <w:rFonts w:ascii="Arial" w:eastAsia="Arial" w:hAnsi="Arial" w:cs="Arial"/>
          <w:color w:val="E80303"/>
          <w:sz w:val="24"/>
          <w:szCs w:val="24"/>
        </w:rPr>
        <w:tab/>
      </w:r>
      <w:r>
        <w:rPr>
          <w:rFonts w:ascii="Arial" w:eastAsia="Arial" w:hAnsi="Arial" w:cs="Arial"/>
          <w:color w:val="916F41"/>
          <w:sz w:val="24"/>
          <w:szCs w:val="24"/>
        </w:rPr>
        <w:t>NORMAS</w:t>
      </w:r>
      <w:r>
        <w:rPr>
          <w:rFonts w:ascii="Arial" w:eastAsia="Arial" w:hAnsi="Arial" w:cs="Arial"/>
          <w:color w:val="916F41"/>
          <w:sz w:val="24"/>
          <w:szCs w:val="24"/>
        </w:rPr>
        <w:tab/>
        <w:t>APLICABLES</w:t>
      </w:r>
      <w:r>
        <w:rPr>
          <w:rFonts w:ascii="Arial" w:eastAsia="Arial" w:hAnsi="Arial" w:cs="Arial"/>
          <w:color w:val="916F41"/>
          <w:sz w:val="24"/>
          <w:szCs w:val="24"/>
        </w:rPr>
        <w:tab/>
        <w:t>AL</w:t>
      </w:r>
      <w:r>
        <w:rPr>
          <w:rFonts w:ascii="Arial" w:eastAsia="Arial" w:hAnsi="Arial" w:cs="Arial"/>
          <w:color w:val="916F41"/>
          <w:sz w:val="24"/>
          <w:szCs w:val="24"/>
        </w:rPr>
        <w:tab/>
        <w:t>FONDO</w:t>
      </w:r>
      <w:r>
        <w:rPr>
          <w:rFonts w:ascii="Arial" w:eastAsia="Arial" w:hAnsi="Arial" w:cs="Arial"/>
          <w:color w:val="916F41"/>
          <w:sz w:val="24"/>
          <w:szCs w:val="24"/>
        </w:rPr>
        <w:tab/>
        <w:t>DE</w:t>
      </w:r>
      <w:r>
        <w:rPr>
          <w:rFonts w:ascii="Arial" w:eastAsia="Arial" w:hAnsi="Arial" w:cs="Arial"/>
          <w:color w:val="916F41"/>
          <w:sz w:val="24"/>
          <w:szCs w:val="24"/>
        </w:rPr>
        <w:tab/>
        <w:t>LA CONTROVERSIA</w:t>
      </w:r>
    </w:p>
    <w:p w14:paraId="49643C0A" w14:textId="77777777" w:rsidR="00CD23AE" w:rsidRDefault="00127FFC">
      <w:pPr>
        <w:numPr>
          <w:ilvl w:val="0"/>
          <w:numId w:val="6"/>
        </w:numPr>
        <w:pBdr>
          <w:top w:val="nil"/>
          <w:left w:val="nil"/>
          <w:bottom w:val="nil"/>
          <w:right w:val="nil"/>
          <w:between w:val="nil"/>
        </w:pBdr>
        <w:tabs>
          <w:tab w:val="left" w:pos="813"/>
        </w:tabs>
        <w:spacing w:before="183" w:line="273" w:lineRule="auto"/>
        <w:ind w:right="136" w:firstLine="0"/>
        <w:jc w:val="both"/>
        <w:rPr>
          <w:rFonts w:ascii="Arial" w:eastAsia="Arial" w:hAnsi="Arial" w:cs="Arial"/>
          <w:color w:val="000000"/>
        </w:rPr>
      </w:pPr>
      <w:r>
        <w:rPr>
          <w:rFonts w:ascii="Arial" w:eastAsia="Arial" w:hAnsi="Arial" w:cs="Arial"/>
          <w:color w:val="000000"/>
        </w:rPr>
        <w:t>Salvo que las partes hayan acordado el derecho o los derechos que los árbitros deben aplicar al fondo de la controversia, se aplican las siguientes reglas:</w:t>
      </w:r>
    </w:p>
    <w:p w14:paraId="256017B0" w14:textId="77777777" w:rsidR="00CD23AE" w:rsidRDefault="00127FFC">
      <w:pPr>
        <w:numPr>
          <w:ilvl w:val="0"/>
          <w:numId w:val="72"/>
        </w:numPr>
        <w:pBdr>
          <w:top w:val="nil"/>
          <w:left w:val="nil"/>
          <w:bottom w:val="nil"/>
          <w:right w:val="nil"/>
          <w:between w:val="nil"/>
        </w:pBdr>
        <w:tabs>
          <w:tab w:val="left" w:pos="813"/>
        </w:tabs>
        <w:spacing w:before="183" w:line="273" w:lineRule="auto"/>
        <w:ind w:right="136"/>
        <w:jc w:val="both"/>
        <w:rPr>
          <w:rFonts w:ascii="Arial" w:eastAsia="Arial" w:hAnsi="Arial" w:cs="Arial"/>
          <w:color w:val="000000"/>
        </w:rPr>
      </w:pPr>
      <w:r>
        <w:rPr>
          <w:rFonts w:ascii="Arial" w:eastAsia="Arial" w:hAnsi="Arial" w:cs="Arial"/>
          <w:color w:val="000000"/>
        </w:rPr>
        <w:t>En el arbitraje nacional y de derecho, los árbitros deciden el fondo de la controversia de acuerdo con el derecho peruano.</w:t>
      </w:r>
    </w:p>
    <w:p w14:paraId="72797C6C" w14:textId="77777777" w:rsidR="00CD23AE" w:rsidRDefault="00127FFC">
      <w:pPr>
        <w:numPr>
          <w:ilvl w:val="0"/>
          <w:numId w:val="72"/>
        </w:numPr>
        <w:pBdr>
          <w:top w:val="nil"/>
          <w:left w:val="nil"/>
          <w:bottom w:val="nil"/>
          <w:right w:val="nil"/>
          <w:between w:val="nil"/>
        </w:pBdr>
        <w:tabs>
          <w:tab w:val="left" w:pos="813"/>
        </w:tabs>
        <w:spacing w:before="183" w:line="273" w:lineRule="auto"/>
        <w:ind w:right="136"/>
        <w:jc w:val="both"/>
        <w:rPr>
          <w:rFonts w:ascii="Arial" w:eastAsia="Arial" w:hAnsi="Arial" w:cs="Arial"/>
          <w:color w:val="000000"/>
        </w:rPr>
      </w:pPr>
      <w:r>
        <w:rPr>
          <w:rFonts w:ascii="Arial" w:eastAsia="Arial" w:hAnsi="Arial" w:cs="Arial"/>
          <w:color w:val="000000"/>
        </w:rPr>
        <w:t>En el arbitraje internacional, los árbitros resuelven aplicando el derecho que estimen apropiado, sin perjuicio de poder resolver en conciencia, sólo si las partes así lo hubiesen autorizado.</w:t>
      </w:r>
    </w:p>
    <w:p w14:paraId="39A731FF" w14:textId="77777777" w:rsidR="00CD23AE" w:rsidRDefault="00127FFC">
      <w:pPr>
        <w:numPr>
          <w:ilvl w:val="0"/>
          <w:numId w:val="6"/>
        </w:numPr>
        <w:pBdr>
          <w:top w:val="nil"/>
          <w:left w:val="nil"/>
          <w:bottom w:val="nil"/>
          <w:right w:val="nil"/>
          <w:between w:val="nil"/>
        </w:pBdr>
        <w:tabs>
          <w:tab w:val="left" w:pos="854"/>
        </w:tabs>
        <w:spacing w:before="192" w:line="273" w:lineRule="auto"/>
        <w:ind w:right="136" w:firstLine="0"/>
        <w:jc w:val="both"/>
        <w:rPr>
          <w:rFonts w:ascii="Arial" w:eastAsia="Arial" w:hAnsi="Arial" w:cs="Arial"/>
          <w:color w:val="000000"/>
        </w:rPr>
      </w:pPr>
      <w:r>
        <w:rPr>
          <w:rFonts w:ascii="Arial" w:eastAsia="Arial" w:hAnsi="Arial" w:cs="Arial"/>
          <w:color w:val="000000"/>
        </w:rPr>
        <w:t>En ambos casos, los árbitros resuelven con arreglo a lo estipulado en el contrato, teniendo en consideración los usos y prácticas aplicables.</w:t>
      </w:r>
    </w:p>
    <w:p w14:paraId="5E35D9BA" w14:textId="77777777" w:rsidR="00CD23AE" w:rsidRDefault="00CD23AE">
      <w:pPr>
        <w:pBdr>
          <w:top w:val="nil"/>
          <w:left w:val="nil"/>
          <w:bottom w:val="nil"/>
          <w:right w:val="nil"/>
          <w:between w:val="nil"/>
        </w:pBdr>
        <w:spacing w:before="79"/>
        <w:jc w:val="both"/>
        <w:rPr>
          <w:rFonts w:ascii="Arial" w:eastAsia="Arial" w:hAnsi="Arial" w:cs="Arial"/>
          <w:color w:val="000000"/>
        </w:rPr>
      </w:pPr>
    </w:p>
    <w:p w14:paraId="52EEA975" w14:textId="77777777" w:rsidR="00CD23AE" w:rsidRDefault="00127FFC" w:rsidP="005E41D0">
      <w:pPr>
        <w:pStyle w:val="Ttulo6"/>
        <w:jc w:val="both"/>
        <w:rPr>
          <w:rFonts w:ascii="Arial" w:eastAsia="Arial" w:hAnsi="Arial" w:cs="Arial"/>
          <w:sz w:val="24"/>
          <w:szCs w:val="24"/>
        </w:rPr>
      </w:pPr>
      <w:r>
        <w:rPr>
          <w:rFonts w:ascii="Arial" w:eastAsia="Arial" w:hAnsi="Arial" w:cs="Arial"/>
          <w:color w:val="916F41"/>
          <w:sz w:val="24"/>
          <w:szCs w:val="24"/>
        </w:rPr>
        <w:t>ARTÍCULO 55°. -</w:t>
      </w:r>
      <w:r>
        <w:rPr>
          <w:rFonts w:ascii="Arial" w:eastAsia="Arial" w:hAnsi="Arial" w:cs="Arial"/>
          <w:sz w:val="24"/>
          <w:szCs w:val="24"/>
        </w:rPr>
        <w:t xml:space="preserve"> DEL LAUDO</w:t>
      </w:r>
    </w:p>
    <w:p w14:paraId="28E7D522" w14:textId="77777777" w:rsidR="00CD23AE" w:rsidRDefault="00127FFC">
      <w:pPr>
        <w:numPr>
          <w:ilvl w:val="0"/>
          <w:numId w:val="5"/>
        </w:numPr>
        <w:pBdr>
          <w:top w:val="nil"/>
          <w:left w:val="nil"/>
          <w:bottom w:val="nil"/>
          <w:right w:val="nil"/>
          <w:between w:val="nil"/>
        </w:pBdr>
        <w:tabs>
          <w:tab w:val="left" w:pos="885"/>
        </w:tabs>
        <w:spacing w:before="220" w:line="273" w:lineRule="auto"/>
        <w:ind w:right="135" w:firstLine="0"/>
        <w:jc w:val="both"/>
        <w:rPr>
          <w:rFonts w:ascii="Arial" w:eastAsia="Arial" w:hAnsi="Arial" w:cs="Arial"/>
          <w:color w:val="000000"/>
        </w:rPr>
      </w:pPr>
      <w:r>
        <w:rPr>
          <w:rFonts w:ascii="Arial" w:eastAsia="Arial" w:hAnsi="Arial" w:cs="Arial"/>
          <w:color w:val="000000"/>
        </w:rPr>
        <w:t>El laudo consta por escrito y debe estar firmado por los árbitros, incluyendo los votos discrepantes, de ser el caso.</w:t>
      </w:r>
    </w:p>
    <w:p w14:paraId="60E834D8" w14:textId="77777777" w:rsidR="00CD23AE" w:rsidRDefault="00127FFC">
      <w:pPr>
        <w:numPr>
          <w:ilvl w:val="0"/>
          <w:numId w:val="5"/>
        </w:numPr>
        <w:pBdr>
          <w:top w:val="nil"/>
          <w:left w:val="nil"/>
          <w:bottom w:val="nil"/>
          <w:right w:val="nil"/>
          <w:between w:val="nil"/>
        </w:pBdr>
        <w:tabs>
          <w:tab w:val="left" w:pos="838"/>
        </w:tabs>
        <w:spacing w:before="192" w:line="273" w:lineRule="auto"/>
        <w:ind w:right="136" w:firstLine="0"/>
        <w:jc w:val="both"/>
        <w:rPr>
          <w:rFonts w:ascii="Arial" w:eastAsia="Arial" w:hAnsi="Arial" w:cs="Arial"/>
          <w:color w:val="000000"/>
        </w:rPr>
      </w:pPr>
      <w:r>
        <w:rPr>
          <w:rFonts w:ascii="Arial" w:eastAsia="Arial" w:hAnsi="Arial" w:cs="Arial"/>
          <w:color w:val="000000"/>
        </w:rPr>
        <w:t>En el caso de un tribunal arbitral colegiado, basta que sea firmado por la mayoría para formar decisión. En caso de empate, el presidente del tribunal arbitral tiene voto dirimente. Si no hubiera acuerdo mayoritario, decide el voto del presidente del tribunal arbitral.</w:t>
      </w:r>
    </w:p>
    <w:p w14:paraId="474024D9" w14:textId="77777777" w:rsidR="00CD23AE" w:rsidRDefault="00127FFC">
      <w:pPr>
        <w:numPr>
          <w:ilvl w:val="0"/>
          <w:numId w:val="5"/>
        </w:numPr>
        <w:pBdr>
          <w:top w:val="nil"/>
          <w:left w:val="nil"/>
          <w:bottom w:val="nil"/>
          <w:right w:val="nil"/>
          <w:between w:val="nil"/>
        </w:pBdr>
        <w:tabs>
          <w:tab w:val="left" w:pos="794"/>
        </w:tabs>
        <w:spacing w:before="190" w:line="273" w:lineRule="auto"/>
        <w:ind w:left="482" w:right="197" w:firstLine="0"/>
        <w:jc w:val="both"/>
        <w:rPr>
          <w:rFonts w:ascii="Arial" w:eastAsia="Arial" w:hAnsi="Arial" w:cs="Arial"/>
          <w:color w:val="000000"/>
        </w:rPr>
      </w:pPr>
      <w:r>
        <w:rPr>
          <w:rFonts w:ascii="Arial" w:eastAsia="Arial" w:hAnsi="Arial" w:cs="Arial"/>
          <w:color w:val="000000"/>
        </w:rPr>
        <w:t>El árbitro que no firma ni emite su voto discrepante se adhiere al de la mayoría o al del presidente, según corresponda.</w:t>
      </w:r>
    </w:p>
    <w:p w14:paraId="02D285A2" w14:textId="77777777" w:rsidR="00CD23AE" w:rsidRDefault="00127FFC">
      <w:pPr>
        <w:numPr>
          <w:ilvl w:val="0"/>
          <w:numId w:val="5"/>
        </w:numPr>
        <w:pBdr>
          <w:top w:val="nil"/>
          <w:left w:val="nil"/>
          <w:bottom w:val="nil"/>
          <w:right w:val="nil"/>
          <w:between w:val="nil"/>
        </w:pBdr>
        <w:tabs>
          <w:tab w:val="left" w:pos="818"/>
        </w:tabs>
        <w:spacing w:before="192" w:line="273" w:lineRule="auto"/>
        <w:ind w:left="482" w:right="197" w:firstLine="0"/>
        <w:jc w:val="both"/>
        <w:rPr>
          <w:rFonts w:ascii="Arial" w:eastAsia="Arial" w:hAnsi="Arial" w:cs="Arial"/>
          <w:color w:val="000000"/>
        </w:rPr>
      </w:pPr>
      <w:r>
        <w:rPr>
          <w:rFonts w:ascii="Arial" w:eastAsia="Arial" w:hAnsi="Arial" w:cs="Arial"/>
          <w:color w:val="000000"/>
        </w:rPr>
        <w:t>Los árbitros podrán decidir la controversia en un solo laudo o en varios laudos parciales de considerarlo conveniente.</w:t>
      </w:r>
    </w:p>
    <w:p w14:paraId="615D416F" w14:textId="77777777" w:rsidR="00CD23AE" w:rsidRDefault="00CD23AE">
      <w:pPr>
        <w:pBdr>
          <w:top w:val="nil"/>
          <w:left w:val="nil"/>
          <w:bottom w:val="nil"/>
          <w:right w:val="nil"/>
          <w:between w:val="nil"/>
        </w:pBdr>
        <w:spacing w:before="4"/>
        <w:jc w:val="both"/>
        <w:rPr>
          <w:rFonts w:ascii="Arial" w:eastAsia="Arial" w:hAnsi="Arial" w:cs="Arial"/>
          <w:color w:val="000000"/>
        </w:rPr>
      </w:pPr>
    </w:p>
    <w:p w14:paraId="51A43843" w14:textId="77777777" w:rsidR="00CD23AE" w:rsidRDefault="00127FFC" w:rsidP="005E41D0">
      <w:pPr>
        <w:pStyle w:val="Ttulo6"/>
        <w:jc w:val="both"/>
        <w:rPr>
          <w:rFonts w:ascii="Arial" w:eastAsia="Arial" w:hAnsi="Arial" w:cs="Arial"/>
          <w:sz w:val="24"/>
          <w:szCs w:val="24"/>
        </w:rPr>
      </w:pPr>
      <w:r>
        <w:rPr>
          <w:rFonts w:ascii="Arial" w:eastAsia="Arial" w:hAnsi="Arial" w:cs="Arial"/>
          <w:color w:val="916F41"/>
          <w:sz w:val="24"/>
          <w:szCs w:val="24"/>
        </w:rPr>
        <w:t xml:space="preserve">ARTÍCULO 56°. - </w:t>
      </w:r>
      <w:r>
        <w:rPr>
          <w:rFonts w:ascii="Arial" w:eastAsia="Arial" w:hAnsi="Arial" w:cs="Arial"/>
          <w:sz w:val="24"/>
          <w:szCs w:val="24"/>
        </w:rPr>
        <w:t>CONTENIDO DEL LAUDO</w:t>
      </w:r>
    </w:p>
    <w:p w14:paraId="240F3344" w14:textId="77777777" w:rsidR="00CD23AE" w:rsidRDefault="00127FFC">
      <w:pPr>
        <w:numPr>
          <w:ilvl w:val="0"/>
          <w:numId w:val="3"/>
        </w:numPr>
        <w:pBdr>
          <w:top w:val="nil"/>
          <w:left w:val="nil"/>
          <w:bottom w:val="nil"/>
          <w:right w:val="nil"/>
          <w:between w:val="nil"/>
        </w:pBdr>
        <w:tabs>
          <w:tab w:val="left" w:pos="717"/>
        </w:tabs>
        <w:spacing w:before="205"/>
        <w:ind w:left="717" w:hanging="235"/>
        <w:jc w:val="both"/>
        <w:rPr>
          <w:rFonts w:ascii="Arial" w:eastAsia="Arial" w:hAnsi="Arial" w:cs="Arial"/>
          <w:color w:val="000000"/>
        </w:rPr>
      </w:pPr>
      <w:r>
        <w:rPr>
          <w:rFonts w:ascii="Arial" w:eastAsia="Arial" w:hAnsi="Arial" w:cs="Arial"/>
          <w:color w:val="000000"/>
        </w:rPr>
        <w:t>El laudo arbitral de derecho deberá estar motivado y contendrá:</w:t>
      </w:r>
    </w:p>
    <w:p w14:paraId="762E71C5" w14:textId="77777777" w:rsidR="00CD23AE" w:rsidRDefault="00127FFC">
      <w:pPr>
        <w:numPr>
          <w:ilvl w:val="0"/>
          <w:numId w:val="60"/>
        </w:numPr>
        <w:pBdr>
          <w:top w:val="nil"/>
          <w:left w:val="nil"/>
          <w:bottom w:val="nil"/>
          <w:right w:val="nil"/>
          <w:between w:val="nil"/>
        </w:pBdr>
        <w:tabs>
          <w:tab w:val="left" w:pos="1514"/>
        </w:tabs>
        <w:spacing w:before="20"/>
        <w:ind w:left="1701" w:hanging="567"/>
        <w:jc w:val="both"/>
        <w:rPr>
          <w:rFonts w:ascii="Arial" w:eastAsia="Arial" w:hAnsi="Arial" w:cs="Arial"/>
          <w:color w:val="000000"/>
        </w:rPr>
      </w:pPr>
      <w:r>
        <w:rPr>
          <w:rFonts w:ascii="Arial" w:eastAsia="Arial" w:hAnsi="Arial" w:cs="Arial"/>
          <w:color w:val="000000"/>
        </w:rPr>
        <w:t>Lugar y fecha de expedición.</w:t>
      </w:r>
    </w:p>
    <w:p w14:paraId="6ECF8A00" w14:textId="77777777" w:rsidR="00CD23AE" w:rsidRDefault="00127FFC">
      <w:pPr>
        <w:numPr>
          <w:ilvl w:val="0"/>
          <w:numId w:val="60"/>
        </w:numPr>
        <w:pBdr>
          <w:top w:val="nil"/>
          <w:left w:val="nil"/>
          <w:bottom w:val="nil"/>
          <w:right w:val="nil"/>
          <w:between w:val="nil"/>
        </w:pBdr>
        <w:tabs>
          <w:tab w:val="left" w:pos="1514"/>
        </w:tabs>
        <w:spacing w:before="20"/>
        <w:ind w:left="1701" w:hanging="567"/>
        <w:jc w:val="both"/>
        <w:rPr>
          <w:rFonts w:ascii="Arial" w:eastAsia="Arial" w:hAnsi="Arial" w:cs="Arial"/>
          <w:color w:val="000000"/>
        </w:rPr>
      </w:pPr>
      <w:r>
        <w:rPr>
          <w:rFonts w:ascii="Arial" w:eastAsia="Arial" w:hAnsi="Arial" w:cs="Arial"/>
          <w:color w:val="000000"/>
        </w:rPr>
        <w:t>Nombres de las partes y de los árbitros.</w:t>
      </w:r>
    </w:p>
    <w:p w14:paraId="2AEE1085" w14:textId="77777777" w:rsidR="00CD23AE" w:rsidRDefault="00127FFC">
      <w:pPr>
        <w:numPr>
          <w:ilvl w:val="0"/>
          <w:numId w:val="60"/>
        </w:numPr>
        <w:pBdr>
          <w:top w:val="nil"/>
          <w:left w:val="nil"/>
          <w:bottom w:val="nil"/>
          <w:right w:val="nil"/>
          <w:between w:val="nil"/>
        </w:pBdr>
        <w:tabs>
          <w:tab w:val="left" w:pos="1514"/>
        </w:tabs>
        <w:spacing w:before="20"/>
        <w:ind w:left="1701" w:hanging="567"/>
        <w:jc w:val="both"/>
        <w:rPr>
          <w:rFonts w:ascii="Arial" w:eastAsia="Arial" w:hAnsi="Arial" w:cs="Arial"/>
          <w:color w:val="000000"/>
        </w:rPr>
      </w:pPr>
      <w:r>
        <w:rPr>
          <w:rFonts w:ascii="Arial" w:eastAsia="Arial" w:hAnsi="Arial" w:cs="Arial"/>
          <w:color w:val="000000"/>
        </w:rPr>
        <w:t xml:space="preserve">La cuestión sometida a arbitraje y una breve referencia a las alegaciones y conclusiones de las partes.  </w:t>
      </w:r>
    </w:p>
    <w:p w14:paraId="09FC9529" w14:textId="77777777" w:rsidR="00CD23AE" w:rsidRDefault="00127FFC">
      <w:pPr>
        <w:numPr>
          <w:ilvl w:val="0"/>
          <w:numId w:val="60"/>
        </w:numPr>
        <w:pBdr>
          <w:top w:val="nil"/>
          <w:left w:val="nil"/>
          <w:bottom w:val="nil"/>
          <w:right w:val="nil"/>
          <w:between w:val="nil"/>
        </w:pBdr>
        <w:tabs>
          <w:tab w:val="left" w:pos="1514"/>
        </w:tabs>
        <w:spacing w:before="20"/>
        <w:ind w:left="1701" w:hanging="567"/>
        <w:jc w:val="both"/>
        <w:rPr>
          <w:rFonts w:ascii="Arial" w:eastAsia="Arial" w:hAnsi="Arial" w:cs="Arial"/>
          <w:color w:val="000000"/>
        </w:rPr>
      </w:pPr>
      <w:r>
        <w:rPr>
          <w:rFonts w:ascii="Arial" w:eastAsia="Arial" w:hAnsi="Arial" w:cs="Arial"/>
          <w:color w:val="000000"/>
        </w:rPr>
        <w:t>Valoración de las pruebas en que se sustenta la decisión.</w:t>
      </w:r>
    </w:p>
    <w:p w14:paraId="39F30D60" w14:textId="77777777" w:rsidR="00CD23AE" w:rsidRDefault="00127FFC">
      <w:pPr>
        <w:numPr>
          <w:ilvl w:val="0"/>
          <w:numId w:val="60"/>
        </w:numPr>
        <w:pBdr>
          <w:top w:val="nil"/>
          <w:left w:val="nil"/>
          <w:bottom w:val="nil"/>
          <w:right w:val="nil"/>
          <w:between w:val="nil"/>
        </w:pBdr>
        <w:tabs>
          <w:tab w:val="left" w:pos="1514"/>
        </w:tabs>
        <w:spacing w:before="20"/>
        <w:ind w:left="1701" w:hanging="567"/>
        <w:jc w:val="both"/>
        <w:rPr>
          <w:rFonts w:ascii="Arial" w:eastAsia="Arial" w:hAnsi="Arial" w:cs="Arial"/>
          <w:color w:val="000000"/>
        </w:rPr>
      </w:pPr>
      <w:r>
        <w:rPr>
          <w:rFonts w:ascii="Arial" w:eastAsia="Arial" w:hAnsi="Arial" w:cs="Arial"/>
          <w:color w:val="000000"/>
        </w:rPr>
        <w:t>Fundamentos de hecho y de derecho para admitir o rechazar las respectivas pretensiones y defensas.</w:t>
      </w:r>
    </w:p>
    <w:p w14:paraId="3C5500A7" w14:textId="77777777" w:rsidR="00CD23AE" w:rsidRDefault="00127FFC">
      <w:pPr>
        <w:numPr>
          <w:ilvl w:val="0"/>
          <w:numId w:val="60"/>
        </w:numPr>
        <w:pBdr>
          <w:top w:val="nil"/>
          <w:left w:val="nil"/>
          <w:bottom w:val="nil"/>
          <w:right w:val="nil"/>
          <w:between w:val="nil"/>
        </w:pBdr>
        <w:tabs>
          <w:tab w:val="left" w:pos="1514"/>
        </w:tabs>
        <w:spacing w:before="20"/>
        <w:ind w:left="1701" w:hanging="567"/>
        <w:jc w:val="both"/>
        <w:rPr>
          <w:rFonts w:ascii="Arial" w:eastAsia="Arial" w:hAnsi="Arial" w:cs="Arial"/>
          <w:color w:val="000000"/>
        </w:rPr>
      </w:pPr>
      <w:r>
        <w:rPr>
          <w:rFonts w:ascii="Arial" w:eastAsia="Arial" w:hAnsi="Arial" w:cs="Arial"/>
          <w:color w:val="000000"/>
        </w:rPr>
        <w:t>La decisión.</w:t>
      </w:r>
    </w:p>
    <w:p w14:paraId="2406EC46" w14:textId="77777777" w:rsidR="00CD23AE" w:rsidRDefault="00127FFC">
      <w:pPr>
        <w:numPr>
          <w:ilvl w:val="0"/>
          <w:numId w:val="60"/>
        </w:numPr>
        <w:pBdr>
          <w:top w:val="nil"/>
          <w:left w:val="nil"/>
          <w:bottom w:val="nil"/>
          <w:right w:val="nil"/>
          <w:between w:val="nil"/>
        </w:pBdr>
        <w:tabs>
          <w:tab w:val="left" w:pos="1514"/>
        </w:tabs>
        <w:spacing w:before="20"/>
        <w:ind w:left="1701" w:hanging="567"/>
        <w:jc w:val="both"/>
        <w:rPr>
          <w:rFonts w:ascii="Arial" w:eastAsia="Arial" w:hAnsi="Arial" w:cs="Arial"/>
          <w:color w:val="000000"/>
        </w:rPr>
      </w:pPr>
      <w:r>
        <w:rPr>
          <w:rFonts w:ascii="Arial" w:eastAsia="Arial" w:hAnsi="Arial" w:cs="Arial"/>
          <w:color w:val="000000"/>
        </w:rPr>
        <w:t xml:space="preserve">La referencia sobre la asunción o distribución de los costos arbitrales. </w:t>
      </w:r>
    </w:p>
    <w:p w14:paraId="38A2F898" w14:textId="77777777" w:rsidR="00CD23AE" w:rsidRDefault="00127FFC">
      <w:pPr>
        <w:numPr>
          <w:ilvl w:val="0"/>
          <w:numId w:val="60"/>
        </w:numPr>
        <w:pBdr>
          <w:top w:val="nil"/>
          <w:left w:val="nil"/>
          <w:bottom w:val="nil"/>
          <w:right w:val="nil"/>
          <w:between w:val="nil"/>
        </w:pBdr>
        <w:tabs>
          <w:tab w:val="left" w:pos="1514"/>
        </w:tabs>
        <w:spacing w:before="20"/>
        <w:ind w:left="1560" w:hanging="425"/>
        <w:jc w:val="both"/>
        <w:rPr>
          <w:rFonts w:ascii="Arial" w:eastAsia="Arial" w:hAnsi="Arial" w:cs="Arial"/>
          <w:color w:val="000000"/>
        </w:rPr>
      </w:pPr>
      <w:r>
        <w:rPr>
          <w:rFonts w:ascii="Arial" w:eastAsia="Arial" w:hAnsi="Arial" w:cs="Arial"/>
          <w:color w:val="000000"/>
        </w:rPr>
        <w:t>En caso de amparar pretensiones no valorizables en dinero, el monto equivalente a efectos de constituir la garantía de cumplimiento conforme señala el artículo 74° del Reglamento.</w:t>
      </w:r>
    </w:p>
    <w:p w14:paraId="5F27BDC7" w14:textId="77777777" w:rsidR="00CD23AE" w:rsidRDefault="00127FFC">
      <w:pPr>
        <w:numPr>
          <w:ilvl w:val="0"/>
          <w:numId w:val="3"/>
        </w:numPr>
        <w:pBdr>
          <w:top w:val="nil"/>
          <w:left w:val="nil"/>
          <w:bottom w:val="nil"/>
          <w:right w:val="nil"/>
          <w:between w:val="nil"/>
        </w:pBdr>
        <w:tabs>
          <w:tab w:val="left" w:pos="782"/>
        </w:tabs>
        <w:spacing w:before="192" w:line="273" w:lineRule="auto"/>
        <w:ind w:left="482" w:right="197" w:firstLine="0"/>
        <w:jc w:val="both"/>
        <w:rPr>
          <w:rFonts w:ascii="Arial" w:eastAsia="Arial" w:hAnsi="Arial" w:cs="Arial"/>
          <w:color w:val="000000"/>
        </w:rPr>
      </w:pPr>
      <w:r>
        <w:rPr>
          <w:rFonts w:ascii="Arial" w:eastAsia="Arial" w:hAnsi="Arial" w:cs="Arial"/>
          <w:color w:val="000000"/>
        </w:rPr>
        <w:t>El laudo arbitral de equidad o conciencia debe contener lo dispuesto en los incisos a), b), c), f) y g) del presente artículo. Este laudo requiere además de una motivación razonada.</w:t>
      </w:r>
    </w:p>
    <w:p w14:paraId="12A85DFA" w14:textId="77777777" w:rsidR="00CD23AE" w:rsidRDefault="00CD23AE">
      <w:pPr>
        <w:pStyle w:val="Ttulo6"/>
        <w:ind w:firstLine="482"/>
        <w:jc w:val="both"/>
        <w:rPr>
          <w:rFonts w:ascii="Arial" w:eastAsia="Arial" w:hAnsi="Arial" w:cs="Arial"/>
          <w:sz w:val="22"/>
          <w:szCs w:val="22"/>
        </w:rPr>
      </w:pPr>
    </w:p>
    <w:p w14:paraId="3A9AC582" w14:textId="77777777" w:rsidR="005E41D0" w:rsidRDefault="005E41D0" w:rsidP="005E41D0">
      <w:pPr>
        <w:pStyle w:val="Ttulo6"/>
        <w:jc w:val="both"/>
        <w:rPr>
          <w:rFonts w:ascii="Arial" w:eastAsia="Arial" w:hAnsi="Arial" w:cs="Arial"/>
          <w:color w:val="916F41"/>
          <w:sz w:val="24"/>
          <w:szCs w:val="24"/>
        </w:rPr>
      </w:pPr>
    </w:p>
    <w:p w14:paraId="041FCED3" w14:textId="77777777" w:rsidR="005E41D0" w:rsidRDefault="005E41D0" w:rsidP="005E41D0">
      <w:pPr>
        <w:pStyle w:val="Ttulo6"/>
        <w:jc w:val="both"/>
        <w:rPr>
          <w:rFonts w:ascii="Arial" w:eastAsia="Arial" w:hAnsi="Arial" w:cs="Arial"/>
          <w:color w:val="916F41"/>
          <w:sz w:val="24"/>
          <w:szCs w:val="24"/>
        </w:rPr>
      </w:pPr>
    </w:p>
    <w:p w14:paraId="6029FBC3" w14:textId="5E97E457" w:rsidR="00CD23AE" w:rsidRDefault="00127FFC" w:rsidP="005E41D0">
      <w:pPr>
        <w:pStyle w:val="Ttulo6"/>
        <w:jc w:val="both"/>
        <w:rPr>
          <w:rFonts w:ascii="Arial" w:eastAsia="Arial" w:hAnsi="Arial" w:cs="Arial"/>
          <w:sz w:val="24"/>
          <w:szCs w:val="24"/>
        </w:rPr>
      </w:pPr>
      <w:r>
        <w:rPr>
          <w:rFonts w:ascii="Arial" w:eastAsia="Arial" w:hAnsi="Arial" w:cs="Arial"/>
          <w:color w:val="916F41"/>
          <w:sz w:val="24"/>
          <w:szCs w:val="24"/>
        </w:rPr>
        <w:lastRenderedPageBreak/>
        <w:t xml:space="preserve">ARTÍCULO 56°. - </w:t>
      </w:r>
      <w:r>
        <w:rPr>
          <w:rFonts w:ascii="Arial" w:eastAsia="Arial" w:hAnsi="Arial" w:cs="Arial"/>
          <w:sz w:val="24"/>
          <w:szCs w:val="24"/>
        </w:rPr>
        <w:t>CONTENIDO DEL LAUDO</w:t>
      </w:r>
    </w:p>
    <w:p w14:paraId="45AC4DAB" w14:textId="77777777" w:rsidR="00CD23AE" w:rsidRDefault="00127FFC">
      <w:pPr>
        <w:pBdr>
          <w:top w:val="nil"/>
          <w:left w:val="nil"/>
          <w:bottom w:val="nil"/>
          <w:right w:val="nil"/>
          <w:between w:val="nil"/>
        </w:pBdr>
        <w:spacing w:before="220" w:line="273" w:lineRule="auto"/>
        <w:ind w:left="482" w:right="197"/>
        <w:jc w:val="both"/>
        <w:rPr>
          <w:rFonts w:ascii="Arial" w:eastAsia="Arial" w:hAnsi="Arial" w:cs="Arial"/>
          <w:color w:val="000000"/>
        </w:rPr>
      </w:pPr>
      <w:r>
        <w:rPr>
          <w:rFonts w:ascii="Arial" w:eastAsia="Arial" w:hAnsi="Arial" w:cs="Arial"/>
          <w:color w:val="000000"/>
        </w:rPr>
        <w:t>Los árbitros deben remitir el laudo final a la Secretaría General dentro del plazo fijado para su emisión, bajo responsabilidad, la cual notificará a las partes dentro del plazo de cinco (5) días de recibido el laudo.</w:t>
      </w:r>
    </w:p>
    <w:p w14:paraId="7B09CD44" w14:textId="77777777" w:rsidR="005E41D0" w:rsidRDefault="005E41D0" w:rsidP="005E41D0">
      <w:pPr>
        <w:pStyle w:val="Ttulo6"/>
        <w:jc w:val="both"/>
        <w:rPr>
          <w:rFonts w:ascii="Arial" w:eastAsia="Arial" w:hAnsi="Arial" w:cs="Arial"/>
          <w:color w:val="062D60"/>
          <w:sz w:val="22"/>
          <w:szCs w:val="22"/>
        </w:rPr>
      </w:pPr>
    </w:p>
    <w:p w14:paraId="0965C300" w14:textId="534E39BC" w:rsidR="00CD23AE" w:rsidRDefault="00127FFC" w:rsidP="005E41D0">
      <w:pPr>
        <w:pStyle w:val="Ttulo6"/>
        <w:jc w:val="both"/>
        <w:rPr>
          <w:rFonts w:ascii="Arial" w:eastAsia="Arial" w:hAnsi="Arial" w:cs="Arial"/>
          <w:sz w:val="24"/>
          <w:szCs w:val="24"/>
        </w:rPr>
      </w:pPr>
      <w:r>
        <w:rPr>
          <w:rFonts w:ascii="Arial" w:eastAsia="Arial" w:hAnsi="Arial" w:cs="Arial"/>
          <w:color w:val="916F41"/>
          <w:sz w:val="24"/>
          <w:szCs w:val="24"/>
        </w:rPr>
        <w:t xml:space="preserve">ARTÍCULO 58°. - </w:t>
      </w:r>
      <w:r>
        <w:rPr>
          <w:rFonts w:ascii="Arial" w:eastAsia="Arial" w:hAnsi="Arial" w:cs="Arial"/>
          <w:sz w:val="24"/>
          <w:szCs w:val="24"/>
        </w:rPr>
        <w:t>EFECTOS DEL LAUDO ARBITRAL</w:t>
      </w:r>
    </w:p>
    <w:p w14:paraId="1FF69485" w14:textId="77777777" w:rsidR="00CD23AE" w:rsidRDefault="00127FFC">
      <w:pPr>
        <w:pBdr>
          <w:top w:val="nil"/>
          <w:left w:val="nil"/>
          <w:bottom w:val="nil"/>
          <w:right w:val="nil"/>
          <w:between w:val="nil"/>
        </w:pBdr>
        <w:spacing w:before="150" w:line="273" w:lineRule="auto"/>
        <w:ind w:left="482" w:right="197"/>
        <w:jc w:val="both"/>
        <w:rPr>
          <w:rFonts w:ascii="Arial" w:eastAsia="Arial" w:hAnsi="Arial" w:cs="Arial"/>
          <w:color w:val="000000"/>
        </w:rPr>
      </w:pPr>
      <w:r>
        <w:rPr>
          <w:rFonts w:ascii="Arial" w:eastAsia="Arial" w:hAnsi="Arial" w:cs="Arial"/>
          <w:color w:val="000000"/>
        </w:rPr>
        <w:t>Todo laudo arbitral emitido es definitivo e inapelable, teniendo el valor de cosa juzgada, siendo eficaz y de obligatorio cumplimiento desde su notificación a las partes.</w:t>
      </w:r>
    </w:p>
    <w:p w14:paraId="51AC6AA9" w14:textId="77777777" w:rsidR="00CD23AE" w:rsidRDefault="00127FFC" w:rsidP="005E41D0">
      <w:pPr>
        <w:pStyle w:val="Ttulo6"/>
        <w:spacing w:before="241" w:line="268" w:lineRule="auto"/>
        <w:jc w:val="both"/>
        <w:rPr>
          <w:rFonts w:ascii="Arial" w:eastAsia="Arial" w:hAnsi="Arial" w:cs="Arial"/>
          <w:sz w:val="24"/>
          <w:szCs w:val="24"/>
        </w:rPr>
      </w:pPr>
      <w:r>
        <w:rPr>
          <w:rFonts w:ascii="Arial" w:eastAsia="Arial" w:hAnsi="Arial" w:cs="Arial"/>
          <w:color w:val="916F41"/>
          <w:sz w:val="24"/>
          <w:szCs w:val="24"/>
        </w:rPr>
        <w:t xml:space="preserve">ARTÍCULO 59°. - </w:t>
      </w:r>
      <w:r>
        <w:rPr>
          <w:rFonts w:ascii="Arial" w:eastAsia="Arial" w:hAnsi="Arial" w:cs="Arial"/>
          <w:sz w:val="24"/>
          <w:szCs w:val="24"/>
        </w:rPr>
        <w:t>RECTIFICACIÓN, INTERPRETACIÓN, INTEGRACIÓN Y EXCLUSIÓN DEL LAUDO</w:t>
      </w:r>
    </w:p>
    <w:p w14:paraId="5E84C603" w14:textId="77777777" w:rsidR="00CD23AE" w:rsidRDefault="00127FFC">
      <w:pPr>
        <w:numPr>
          <w:ilvl w:val="0"/>
          <w:numId w:val="2"/>
        </w:numPr>
        <w:pBdr>
          <w:top w:val="nil"/>
          <w:left w:val="nil"/>
          <w:bottom w:val="nil"/>
          <w:right w:val="nil"/>
          <w:between w:val="nil"/>
        </w:pBdr>
        <w:tabs>
          <w:tab w:val="left" w:pos="721"/>
        </w:tabs>
        <w:spacing w:before="174" w:line="273" w:lineRule="auto"/>
        <w:ind w:left="482" w:right="197" w:firstLine="0"/>
        <w:jc w:val="both"/>
        <w:rPr>
          <w:rFonts w:ascii="Arial" w:eastAsia="Arial" w:hAnsi="Arial" w:cs="Arial"/>
          <w:color w:val="000000"/>
        </w:rPr>
      </w:pPr>
      <w:r>
        <w:rPr>
          <w:rFonts w:ascii="Arial" w:eastAsia="Arial" w:hAnsi="Arial" w:cs="Arial"/>
          <w:color w:val="000000"/>
        </w:rPr>
        <w:t>Dentro de los cinco (05) días hábiles siguientes a la notificación del laudo, cualquiera de las partes puede presentar las siguientes solicitudes a los árbitros:</w:t>
      </w:r>
    </w:p>
    <w:p w14:paraId="26AD3B28" w14:textId="77777777" w:rsidR="00CD23AE" w:rsidRDefault="00127FFC">
      <w:pPr>
        <w:numPr>
          <w:ilvl w:val="0"/>
          <w:numId w:val="61"/>
        </w:numPr>
        <w:pBdr>
          <w:top w:val="nil"/>
          <w:left w:val="nil"/>
          <w:bottom w:val="nil"/>
          <w:right w:val="nil"/>
          <w:between w:val="nil"/>
        </w:pBdr>
        <w:spacing w:before="116"/>
        <w:ind w:left="1418"/>
        <w:jc w:val="both"/>
        <w:rPr>
          <w:rFonts w:ascii="Arial" w:eastAsia="Arial" w:hAnsi="Arial" w:cs="Arial"/>
          <w:color w:val="000000"/>
        </w:rPr>
      </w:pPr>
      <w:r>
        <w:rPr>
          <w:rFonts w:ascii="Arial" w:eastAsia="Arial" w:hAnsi="Arial" w:cs="Arial"/>
          <w:color w:val="000000"/>
        </w:rPr>
        <w:t>De rectificación, para corregir cualquier error de cálculo, de transcripción, numérico, de copia, tipográfico, o informático o de naturaleza similar.</w:t>
      </w:r>
    </w:p>
    <w:p w14:paraId="5EC32DBE" w14:textId="77777777" w:rsidR="00CD23AE" w:rsidRDefault="00127FFC">
      <w:pPr>
        <w:numPr>
          <w:ilvl w:val="0"/>
          <w:numId w:val="61"/>
        </w:numPr>
        <w:pBdr>
          <w:top w:val="nil"/>
          <w:left w:val="nil"/>
          <w:bottom w:val="nil"/>
          <w:right w:val="nil"/>
          <w:between w:val="nil"/>
        </w:pBdr>
        <w:spacing w:before="192"/>
        <w:ind w:left="1418" w:hanging="284"/>
        <w:jc w:val="both"/>
        <w:rPr>
          <w:rFonts w:ascii="Arial" w:eastAsia="Arial" w:hAnsi="Arial" w:cs="Arial"/>
          <w:color w:val="000000"/>
        </w:rPr>
      </w:pPr>
      <w:r>
        <w:rPr>
          <w:rFonts w:ascii="Arial" w:eastAsia="Arial" w:hAnsi="Arial" w:cs="Arial"/>
          <w:color w:val="000000"/>
        </w:rPr>
        <w:t>De interpretación, para aclarar un extremo oscuro, impreciso o dudoso expresado en la parte decisoria del laudo o que influya en ella para determinar los alcances de la ejecución.</w:t>
      </w:r>
    </w:p>
    <w:p w14:paraId="00BEC56B" w14:textId="77777777" w:rsidR="00CD23AE" w:rsidRDefault="00127FFC">
      <w:pPr>
        <w:numPr>
          <w:ilvl w:val="0"/>
          <w:numId w:val="61"/>
        </w:numPr>
        <w:pBdr>
          <w:top w:val="nil"/>
          <w:left w:val="nil"/>
          <w:bottom w:val="nil"/>
          <w:right w:val="nil"/>
          <w:between w:val="nil"/>
        </w:pBdr>
        <w:ind w:left="1418"/>
        <w:jc w:val="both"/>
        <w:rPr>
          <w:rFonts w:ascii="Arial" w:eastAsia="Arial" w:hAnsi="Arial" w:cs="Arial"/>
          <w:color w:val="000000"/>
        </w:rPr>
      </w:pPr>
      <w:r>
        <w:rPr>
          <w:rFonts w:ascii="Arial" w:eastAsia="Arial" w:hAnsi="Arial" w:cs="Arial"/>
          <w:color w:val="000000"/>
        </w:rPr>
        <w:t>De integración, para subsanar la omisión en resolver cualquier extremo de la controversia sometida a conocimiento y decisión de los árbitros.</w:t>
      </w:r>
    </w:p>
    <w:p w14:paraId="31A842DC" w14:textId="77777777" w:rsidR="00CD23AE" w:rsidRDefault="00127FFC">
      <w:pPr>
        <w:numPr>
          <w:ilvl w:val="0"/>
          <w:numId w:val="61"/>
        </w:numPr>
        <w:pBdr>
          <w:top w:val="nil"/>
          <w:left w:val="nil"/>
          <w:bottom w:val="nil"/>
          <w:right w:val="nil"/>
          <w:between w:val="nil"/>
        </w:pBdr>
        <w:spacing w:before="142"/>
        <w:ind w:left="1418" w:hanging="425"/>
        <w:jc w:val="both"/>
        <w:rPr>
          <w:rFonts w:ascii="Arial" w:eastAsia="Arial" w:hAnsi="Arial" w:cs="Arial"/>
          <w:color w:val="000000"/>
        </w:rPr>
      </w:pPr>
      <w:r>
        <w:rPr>
          <w:rFonts w:ascii="Arial" w:eastAsia="Arial" w:hAnsi="Arial" w:cs="Arial"/>
          <w:color w:val="000000"/>
        </w:rPr>
        <w:t>De exclusión, para retirar del laudo algún extremo que hubiera sido objeto de pronunciamiento, sin que estuviera sometido a conocimiento y decisión de los árbitros o no sea susceptible de arbitraje.</w:t>
      </w:r>
    </w:p>
    <w:p w14:paraId="1F19B31D" w14:textId="77777777" w:rsidR="00CD23AE" w:rsidRDefault="00127FFC">
      <w:pPr>
        <w:numPr>
          <w:ilvl w:val="0"/>
          <w:numId w:val="2"/>
        </w:numPr>
        <w:pBdr>
          <w:top w:val="nil"/>
          <w:left w:val="nil"/>
          <w:bottom w:val="nil"/>
          <w:right w:val="nil"/>
          <w:between w:val="nil"/>
        </w:pBdr>
        <w:tabs>
          <w:tab w:val="left" w:pos="748"/>
        </w:tabs>
        <w:spacing w:before="221" w:line="273" w:lineRule="auto"/>
        <w:ind w:left="482" w:right="197" w:firstLine="0"/>
        <w:jc w:val="both"/>
        <w:rPr>
          <w:rFonts w:ascii="Arial" w:eastAsia="Arial" w:hAnsi="Arial" w:cs="Arial"/>
          <w:color w:val="000000"/>
        </w:rPr>
      </w:pPr>
      <w:r>
        <w:rPr>
          <w:rFonts w:ascii="Arial" w:eastAsia="Arial" w:hAnsi="Arial" w:cs="Arial"/>
          <w:color w:val="000000"/>
        </w:rPr>
        <w:t>Se otorga a la contraparte un plazo de cinco (05) días hábiles para que se pronuncie, luego de lo cual con o sin su absolución y vencido dicho plazo, los árbitros resuelven las solicitudes en un plazo de diez (10) días hábiles contados desde el día siguiente de notificada la decisión que ordena traer los recursos para resolver, prorrogable por cinco (5) días hábiles adicionales. La Secretaría General notificará la decisión dentro del plazo de cinco (5) días hábiles de recibida la decisión.</w:t>
      </w:r>
    </w:p>
    <w:p w14:paraId="37F91F90" w14:textId="77777777" w:rsidR="00CD23AE" w:rsidRDefault="00127FFC">
      <w:pPr>
        <w:numPr>
          <w:ilvl w:val="0"/>
          <w:numId w:val="2"/>
        </w:numPr>
        <w:pBdr>
          <w:top w:val="nil"/>
          <w:left w:val="nil"/>
          <w:bottom w:val="nil"/>
          <w:right w:val="nil"/>
          <w:between w:val="nil"/>
        </w:pBdr>
        <w:tabs>
          <w:tab w:val="left" w:pos="753"/>
        </w:tabs>
        <w:spacing w:before="171" w:line="273" w:lineRule="auto"/>
        <w:ind w:left="482" w:right="197" w:firstLine="0"/>
        <w:jc w:val="both"/>
        <w:rPr>
          <w:rFonts w:ascii="Arial" w:eastAsia="Arial" w:hAnsi="Arial" w:cs="Arial"/>
          <w:color w:val="000000"/>
        </w:rPr>
      </w:pPr>
      <w:r>
        <w:rPr>
          <w:rFonts w:ascii="Arial" w:eastAsia="Arial" w:hAnsi="Arial" w:cs="Arial"/>
          <w:color w:val="000000"/>
        </w:rPr>
        <w:t>Sin perjuicio de ello, los árbitros podrán realizar, de oficio, la rectificación, interpretación, integración y exclusión del laudo, dentro de los diez (10) días hábiles siguientes de notificado el laudo.</w:t>
      </w:r>
    </w:p>
    <w:p w14:paraId="6B3CA619" w14:textId="77777777" w:rsidR="00CD23AE" w:rsidRDefault="00127FFC">
      <w:pPr>
        <w:numPr>
          <w:ilvl w:val="0"/>
          <w:numId w:val="2"/>
        </w:numPr>
        <w:pBdr>
          <w:top w:val="nil"/>
          <w:left w:val="nil"/>
          <w:bottom w:val="nil"/>
          <w:right w:val="nil"/>
          <w:between w:val="nil"/>
        </w:pBdr>
        <w:tabs>
          <w:tab w:val="left" w:pos="868"/>
        </w:tabs>
        <w:spacing w:before="176" w:line="273" w:lineRule="auto"/>
        <w:ind w:left="482" w:right="197" w:firstLine="0"/>
        <w:jc w:val="both"/>
        <w:rPr>
          <w:rFonts w:ascii="Arial" w:eastAsia="Arial" w:hAnsi="Arial" w:cs="Arial"/>
          <w:color w:val="000000"/>
        </w:rPr>
      </w:pPr>
      <w:r>
        <w:rPr>
          <w:rFonts w:ascii="Arial" w:eastAsia="Arial" w:hAnsi="Arial" w:cs="Arial"/>
          <w:color w:val="000000"/>
        </w:rPr>
        <w:t>La decisión que se pronuncie sobre la rectificación, interpretación, integración y exclusión, forma parte del laudo, no procediendo contra ella recurso alguno, sin perjuicio del recurso de anulación.</w:t>
      </w:r>
    </w:p>
    <w:p w14:paraId="10BCF9E2" w14:textId="77777777" w:rsidR="00CD23AE" w:rsidRDefault="00CD23AE">
      <w:pPr>
        <w:pBdr>
          <w:top w:val="nil"/>
          <w:left w:val="nil"/>
          <w:bottom w:val="nil"/>
          <w:right w:val="nil"/>
          <w:between w:val="nil"/>
        </w:pBdr>
        <w:spacing w:before="17"/>
        <w:jc w:val="both"/>
        <w:rPr>
          <w:rFonts w:ascii="Arial" w:eastAsia="Arial" w:hAnsi="Arial" w:cs="Arial"/>
          <w:color w:val="000000"/>
        </w:rPr>
      </w:pPr>
    </w:p>
    <w:p w14:paraId="3CCAFCB0" w14:textId="77777777" w:rsidR="00CD23AE" w:rsidRDefault="00127FFC" w:rsidP="005E41D0">
      <w:pPr>
        <w:pStyle w:val="Ttulo6"/>
        <w:spacing w:before="1"/>
        <w:jc w:val="both"/>
        <w:rPr>
          <w:rFonts w:ascii="Arial" w:eastAsia="Arial" w:hAnsi="Arial" w:cs="Arial"/>
          <w:sz w:val="24"/>
          <w:szCs w:val="24"/>
        </w:rPr>
      </w:pPr>
      <w:r>
        <w:rPr>
          <w:rFonts w:ascii="Arial" w:eastAsia="Arial" w:hAnsi="Arial" w:cs="Arial"/>
          <w:color w:val="916F41"/>
          <w:sz w:val="24"/>
          <w:szCs w:val="24"/>
        </w:rPr>
        <w:t xml:space="preserve">ARTÍCULO 60°. - </w:t>
      </w:r>
      <w:r>
        <w:rPr>
          <w:rFonts w:ascii="Arial" w:eastAsia="Arial" w:hAnsi="Arial" w:cs="Arial"/>
          <w:sz w:val="24"/>
          <w:szCs w:val="24"/>
        </w:rPr>
        <w:t>FINALIZACIÓN DEL ARBITRAJE</w:t>
      </w:r>
    </w:p>
    <w:p w14:paraId="524CBE82" w14:textId="77777777" w:rsidR="00CD23AE" w:rsidRDefault="00127FFC">
      <w:pPr>
        <w:numPr>
          <w:ilvl w:val="0"/>
          <w:numId w:val="81"/>
        </w:numPr>
        <w:pBdr>
          <w:top w:val="nil"/>
          <w:left w:val="nil"/>
          <w:bottom w:val="nil"/>
          <w:right w:val="nil"/>
          <w:between w:val="nil"/>
        </w:pBdr>
        <w:tabs>
          <w:tab w:val="left" w:pos="714"/>
        </w:tabs>
        <w:spacing w:before="204" w:line="273" w:lineRule="auto"/>
        <w:ind w:left="482" w:right="197" w:firstLine="0"/>
        <w:jc w:val="both"/>
        <w:rPr>
          <w:rFonts w:ascii="Arial" w:eastAsia="Arial" w:hAnsi="Arial" w:cs="Arial"/>
        </w:rPr>
      </w:pPr>
      <w:r>
        <w:rPr>
          <w:rFonts w:ascii="Arial" w:eastAsia="Arial" w:hAnsi="Arial" w:cs="Arial"/>
        </w:rPr>
        <w:t>Se dará por culminado el arbitraje y, en consecuencia, los árbitros cesan en sus funciones, con la emisión del laudo por el que se resuelve de manera definitiva la controversia y, en su caso, con las rectificaciones, interpretaciones, integraciones y exclusiones del laudo; sin perjuicio de la facultad otorgada a los árbitros de ejecutar el laudo arbitral.</w:t>
      </w:r>
    </w:p>
    <w:p w14:paraId="65356182" w14:textId="77777777" w:rsidR="00CD23AE" w:rsidRDefault="00127FFC">
      <w:pPr>
        <w:numPr>
          <w:ilvl w:val="0"/>
          <w:numId w:val="81"/>
        </w:numPr>
        <w:pBdr>
          <w:top w:val="nil"/>
          <w:left w:val="nil"/>
          <w:bottom w:val="nil"/>
          <w:right w:val="nil"/>
          <w:between w:val="nil"/>
        </w:pBdr>
        <w:tabs>
          <w:tab w:val="left" w:pos="752"/>
        </w:tabs>
        <w:spacing w:before="174" w:line="273" w:lineRule="auto"/>
        <w:ind w:left="482" w:right="197" w:firstLine="0"/>
        <w:jc w:val="both"/>
        <w:rPr>
          <w:rFonts w:ascii="Arial" w:eastAsia="Arial" w:hAnsi="Arial" w:cs="Arial"/>
        </w:rPr>
      </w:pPr>
      <w:r>
        <w:rPr>
          <w:rFonts w:ascii="Arial" w:eastAsia="Arial" w:hAnsi="Arial" w:cs="Arial"/>
        </w:rPr>
        <w:t>Las actuaciones posteriores a la culminación del arbitraje son tramitadas y resueltas por la Secretaría General de Arbitraje, salvo que se trate de la ejecución del laudo o exista una disposición legal en contrario.</w:t>
      </w:r>
    </w:p>
    <w:p w14:paraId="4BEAA1BA" w14:textId="77777777" w:rsidR="00CD23AE" w:rsidRDefault="00127FFC">
      <w:pPr>
        <w:numPr>
          <w:ilvl w:val="0"/>
          <w:numId w:val="81"/>
        </w:numPr>
        <w:pBdr>
          <w:top w:val="nil"/>
          <w:left w:val="nil"/>
          <w:bottom w:val="nil"/>
          <w:right w:val="nil"/>
          <w:between w:val="nil"/>
        </w:pBdr>
        <w:tabs>
          <w:tab w:val="left" w:pos="878"/>
        </w:tabs>
        <w:spacing w:before="176" w:line="273" w:lineRule="auto"/>
        <w:ind w:left="482" w:right="197" w:firstLine="0"/>
        <w:jc w:val="both"/>
        <w:rPr>
          <w:rFonts w:ascii="Arial" w:eastAsia="Arial" w:hAnsi="Arial" w:cs="Arial"/>
        </w:rPr>
      </w:pPr>
      <w:r>
        <w:rPr>
          <w:rFonts w:ascii="Arial" w:eastAsia="Arial" w:hAnsi="Arial" w:cs="Arial"/>
        </w:rPr>
        <w:t>También culmina el arbitraje si los árbitros comprueban que la continuación de las actuaciones resulta innecesaria o imposible.</w:t>
      </w:r>
    </w:p>
    <w:p w14:paraId="034B2CD3" w14:textId="77777777" w:rsidR="00CD23AE" w:rsidRDefault="00CD23AE">
      <w:pPr>
        <w:pBdr>
          <w:top w:val="nil"/>
          <w:left w:val="nil"/>
          <w:bottom w:val="nil"/>
          <w:right w:val="nil"/>
          <w:between w:val="nil"/>
        </w:pBdr>
        <w:tabs>
          <w:tab w:val="left" w:pos="878"/>
        </w:tabs>
        <w:spacing w:before="176" w:line="273" w:lineRule="auto"/>
        <w:ind w:left="483" w:right="197"/>
        <w:jc w:val="both"/>
        <w:rPr>
          <w:rFonts w:ascii="Arial" w:eastAsia="Arial" w:hAnsi="Arial" w:cs="Arial"/>
        </w:rPr>
      </w:pPr>
    </w:p>
    <w:p w14:paraId="76033C5E" w14:textId="77777777" w:rsidR="00CD23AE" w:rsidRDefault="00127FFC" w:rsidP="005E41D0">
      <w:pPr>
        <w:pStyle w:val="Ttulo6"/>
        <w:jc w:val="both"/>
        <w:rPr>
          <w:rFonts w:ascii="Arial" w:eastAsia="Arial" w:hAnsi="Arial" w:cs="Arial"/>
          <w:sz w:val="24"/>
          <w:szCs w:val="24"/>
        </w:rPr>
      </w:pPr>
      <w:r>
        <w:rPr>
          <w:rFonts w:ascii="Arial" w:eastAsia="Arial" w:hAnsi="Arial" w:cs="Arial"/>
          <w:color w:val="916F41"/>
          <w:sz w:val="24"/>
          <w:szCs w:val="24"/>
        </w:rPr>
        <w:t xml:space="preserve">ARTÍCULO 61°. - </w:t>
      </w:r>
      <w:r>
        <w:rPr>
          <w:rFonts w:ascii="Arial" w:eastAsia="Arial" w:hAnsi="Arial" w:cs="Arial"/>
          <w:sz w:val="24"/>
          <w:szCs w:val="24"/>
        </w:rPr>
        <w:t>EJECUCIÓN DEL LAUDO</w:t>
      </w:r>
    </w:p>
    <w:p w14:paraId="752FD84F" w14:textId="77777777" w:rsidR="00CD23AE" w:rsidRDefault="00127FFC">
      <w:pPr>
        <w:pBdr>
          <w:top w:val="nil"/>
          <w:left w:val="nil"/>
          <w:bottom w:val="nil"/>
          <w:right w:val="nil"/>
          <w:between w:val="nil"/>
        </w:pBdr>
        <w:spacing w:before="220"/>
        <w:ind w:left="482"/>
        <w:jc w:val="both"/>
        <w:rPr>
          <w:rFonts w:ascii="Arial" w:eastAsia="Arial" w:hAnsi="Arial" w:cs="Arial"/>
        </w:rPr>
      </w:pPr>
      <w:bookmarkStart w:id="12" w:name="_heading=h.a1tet32ku707" w:colFirst="0" w:colLast="0"/>
      <w:bookmarkEnd w:id="12"/>
      <w:r>
        <w:rPr>
          <w:rFonts w:ascii="Arial" w:eastAsia="Arial" w:hAnsi="Arial" w:cs="Arial"/>
        </w:rPr>
        <w:t>La ejecución del laudo se rige por las siguientes reglas:</w:t>
      </w:r>
    </w:p>
    <w:p w14:paraId="478A50B3" w14:textId="77777777" w:rsidR="00CD23AE" w:rsidRDefault="00127FFC">
      <w:pPr>
        <w:numPr>
          <w:ilvl w:val="0"/>
          <w:numId w:val="73"/>
        </w:numPr>
        <w:pBdr>
          <w:top w:val="nil"/>
          <w:left w:val="nil"/>
          <w:bottom w:val="nil"/>
          <w:right w:val="nil"/>
          <w:between w:val="nil"/>
        </w:pBdr>
        <w:spacing w:before="220"/>
        <w:jc w:val="both"/>
        <w:rPr>
          <w:rFonts w:ascii="Arial" w:eastAsia="Arial" w:hAnsi="Arial" w:cs="Arial"/>
        </w:rPr>
      </w:pPr>
      <w:r>
        <w:rPr>
          <w:rFonts w:ascii="Arial" w:eastAsia="Arial" w:hAnsi="Arial" w:cs="Arial"/>
        </w:rPr>
        <w:t>Los árbitros están facultados para ejecutar los laudos dictados, salvo que consideren necesaria la asistencia de la fuerza pública.</w:t>
      </w:r>
    </w:p>
    <w:p w14:paraId="2046C290" w14:textId="77777777" w:rsidR="00CD23AE" w:rsidRDefault="00127FFC">
      <w:pPr>
        <w:numPr>
          <w:ilvl w:val="0"/>
          <w:numId w:val="73"/>
        </w:numPr>
        <w:pBdr>
          <w:top w:val="nil"/>
          <w:left w:val="nil"/>
          <w:bottom w:val="nil"/>
          <w:right w:val="nil"/>
          <w:between w:val="nil"/>
        </w:pBdr>
        <w:spacing w:before="220"/>
        <w:jc w:val="both"/>
        <w:rPr>
          <w:rFonts w:ascii="Arial" w:eastAsia="Arial" w:hAnsi="Arial" w:cs="Arial"/>
        </w:rPr>
      </w:pPr>
      <w:r>
        <w:rPr>
          <w:rFonts w:ascii="Arial" w:eastAsia="Arial" w:hAnsi="Arial" w:cs="Arial"/>
        </w:rPr>
        <w:t>En cualquier caso, si la parte obligada no cumple con lo ordenado por el laudo en la forma y plazo que en él se establece, o en su defecto dentro del plazo de quince (15) días hábiles de notificado, incluidas sus rectificaciones, interpretaciones, integraciones y exclusiones, la parte interesada puede pedir la ejecución del laudo a la autoridad judicial competente en la forma prevista en la Ley de Arbitraje.</w:t>
      </w:r>
    </w:p>
    <w:p w14:paraId="55A2D87E" w14:textId="77777777" w:rsidR="00CD23AE" w:rsidRDefault="00CD23AE">
      <w:pPr>
        <w:pBdr>
          <w:top w:val="nil"/>
          <w:left w:val="nil"/>
          <w:bottom w:val="nil"/>
          <w:right w:val="nil"/>
          <w:between w:val="nil"/>
        </w:pBdr>
        <w:spacing w:before="14"/>
        <w:jc w:val="both"/>
        <w:rPr>
          <w:rFonts w:ascii="Arial" w:eastAsia="Arial" w:hAnsi="Arial" w:cs="Arial"/>
        </w:rPr>
      </w:pPr>
    </w:p>
    <w:p w14:paraId="63582CDE" w14:textId="77777777" w:rsidR="00CD23AE" w:rsidRDefault="00127FFC" w:rsidP="005E41D0">
      <w:pPr>
        <w:pStyle w:val="Ttulo6"/>
        <w:jc w:val="both"/>
        <w:rPr>
          <w:rFonts w:ascii="Arial" w:eastAsia="Arial" w:hAnsi="Arial" w:cs="Arial"/>
          <w:sz w:val="24"/>
          <w:szCs w:val="24"/>
        </w:rPr>
      </w:pPr>
      <w:r>
        <w:rPr>
          <w:rFonts w:ascii="Arial" w:eastAsia="Arial" w:hAnsi="Arial" w:cs="Arial"/>
          <w:color w:val="916F41"/>
          <w:sz w:val="24"/>
          <w:szCs w:val="24"/>
        </w:rPr>
        <w:t xml:space="preserve">ARTÍCULO 62°. - </w:t>
      </w:r>
      <w:r>
        <w:rPr>
          <w:rFonts w:ascii="Arial" w:eastAsia="Arial" w:hAnsi="Arial" w:cs="Arial"/>
          <w:sz w:val="24"/>
          <w:szCs w:val="24"/>
        </w:rPr>
        <w:t>CONSERVACIÓN DE LAS ACTUACIONES ARBITRALES</w:t>
      </w:r>
    </w:p>
    <w:p w14:paraId="48BE2B59" w14:textId="77777777" w:rsidR="00CD23AE" w:rsidRDefault="00127FFC">
      <w:pPr>
        <w:numPr>
          <w:ilvl w:val="0"/>
          <w:numId w:val="78"/>
        </w:numPr>
        <w:pBdr>
          <w:top w:val="nil"/>
          <w:left w:val="nil"/>
          <w:bottom w:val="nil"/>
          <w:right w:val="nil"/>
          <w:between w:val="nil"/>
        </w:pBdr>
        <w:tabs>
          <w:tab w:val="left" w:pos="798"/>
        </w:tabs>
        <w:spacing w:before="220" w:line="273" w:lineRule="auto"/>
        <w:ind w:left="482" w:right="198" w:firstLine="0"/>
        <w:jc w:val="both"/>
        <w:rPr>
          <w:rFonts w:ascii="Arial" w:eastAsia="Arial" w:hAnsi="Arial" w:cs="Arial"/>
        </w:rPr>
      </w:pPr>
      <w:r>
        <w:rPr>
          <w:rFonts w:ascii="Arial" w:eastAsia="Arial" w:hAnsi="Arial" w:cs="Arial"/>
        </w:rPr>
        <w:t>Las actuaciones arbitrales y copia del laudo son conservadas por el Centro, en forma impresa o digital, hasta por un plazo de un año contado desde la culminación del arbitraje y/o culminado el trámite del recurso de anulación en el Poder Judicial. Dentro de este plazo, las partes podrán solicitar al Centro la devolución de los documentos que la interesada hubiera presentado, debiendo asumir los gastos a que hubiera lugar.</w:t>
      </w:r>
    </w:p>
    <w:p w14:paraId="4291C1FC" w14:textId="77777777" w:rsidR="00CD23AE" w:rsidRDefault="00127FFC">
      <w:pPr>
        <w:numPr>
          <w:ilvl w:val="0"/>
          <w:numId w:val="78"/>
        </w:numPr>
        <w:pBdr>
          <w:top w:val="nil"/>
          <w:left w:val="nil"/>
          <w:bottom w:val="nil"/>
          <w:right w:val="nil"/>
          <w:between w:val="nil"/>
        </w:pBdr>
        <w:tabs>
          <w:tab w:val="left" w:pos="784"/>
        </w:tabs>
        <w:spacing w:before="187" w:line="273" w:lineRule="auto"/>
        <w:ind w:left="482" w:right="197" w:firstLine="0"/>
        <w:jc w:val="both"/>
        <w:rPr>
          <w:rFonts w:ascii="Arial" w:eastAsia="Arial" w:hAnsi="Arial" w:cs="Arial"/>
        </w:rPr>
      </w:pPr>
      <w:r>
        <w:rPr>
          <w:rFonts w:ascii="Arial" w:eastAsia="Arial" w:hAnsi="Arial" w:cs="Arial"/>
        </w:rPr>
        <w:t>Vencido el plazo referido en el anterior párrafo, el Centro podrá eliminar los documentos relativos a un arbitraje, sin responsabilidad alguna.</w:t>
      </w:r>
    </w:p>
    <w:p w14:paraId="6CCBB36A" w14:textId="77777777" w:rsidR="00CD23AE" w:rsidRDefault="00127FFC">
      <w:pPr>
        <w:numPr>
          <w:ilvl w:val="0"/>
          <w:numId w:val="78"/>
        </w:numPr>
        <w:pBdr>
          <w:top w:val="nil"/>
          <w:left w:val="nil"/>
          <w:bottom w:val="nil"/>
          <w:right w:val="nil"/>
          <w:between w:val="nil"/>
        </w:pBdr>
        <w:tabs>
          <w:tab w:val="left" w:pos="783"/>
        </w:tabs>
        <w:spacing w:before="192" w:line="273" w:lineRule="auto"/>
        <w:ind w:left="482" w:right="197" w:firstLine="0"/>
        <w:jc w:val="both"/>
        <w:rPr>
          <w:rFonts w:ascii="Arial" w:eastAsia="Arial" w:hAnsi="Arial" w:cs="Arial"/>
        </w:rPr>
      </w:pPr>
      <w:r>
        <w:rPr>
          <w:rFonts w:ascii="Arial" w:eastAsia="Arial" w:hAnsi="Arial" w:cs="Arial"/>
        </w:rPr>
        <w:t>En el caso de los arbitrajes en contrataciones con el Estado, se regirá de acuerdo a su normativa.</w:t>
      </w:r>
    </w:p>
    <w:p w14:paraId="5DAEE5AA" w14:textId="77777777" w:rsidR="00CD23AE" w:rsidRDefault="00CD23AE">
      <w:pPr>
        <w:pBdr>
          <w:top w:val="nil"/>
          <w:left w:val="nil"/>
          <w:bottom w:val="nil"/>
          <w:right w:val="nil"/>
          <w:between w:val="nil"/>
        </w:pBdr>
        <w:spacing w:before="40"/>
        <w:jc w:val="both"/>
        <w:rPr>
          <w:rFonts w:ascii="Arial" w:eastAsia="Arial" w:hAnsi="Arial" w:cs="Arial"/>
        </w:rPr>
      </w:pPr>
    </w:p>
    <w:p w14:paraId="19AD83DA" w14:textId="77777777" w:rsidR="00CD23AE" w:rsidRDefault="00127FFC" w:rsidP="005E41D0">
      <w:pPr>
        <w:pStyle w:val="Ttulo2"/>
        <w:jc w:val="both"/>
        <w:rPr>
          <w:rFonts w:ascii="Arial" w:eastAsia="Arial" w:hAnsi="Arial" w:cs="Arial"/>
          <w:b/>
          <w:color w:val="E80303"/>
          <w:sz w:val="26"/>
          <w:szCs w:val="26"/>
        </w:rPr>
      </w:pPr>
      <w:r>
        <w:rPr>
          <w:rFonts w:ascii="Arial" w:eastAsia="Arial" w:hAnsi="Arial" w:cs="Arial"/>
          <w:b/>
          <w:color w:val="E80303"/>
          <w:sz w:val="26"/>
          <w:szCs w:val="26"/>
        </w:rPr>
        <w:t>CAPÍTULO IV: MEDIDAS CAUTELARES</w:t>
      </w:r>
    </w:p>
    <w:p w14:paraId="30A7F48C" w14:textId="77777777" w:rsidR="00CD23AE" w:rsidRDefault="00127FFC" w:rsidP="005E41D0">
      <w:pPr>
        <w:pStyle w:val="Ttulo6"/>
        <w:spacing w:before="240"/>
        <w:jc w:val="both"/>
        <w:rPr>
          <w:rFonts w:ascii="Arial" w:eastAsia="Arial" w:hAnsi="Arial" w:cs="Arial"/>
          <w:sz w:val="24"/>
          <w:szCs w:val="24"/>
        </w:rPr>
      </w:pPr>
      <w:r>
        <w:rPr>
          <w:rFonts w:ascii="Arial" w:eastAsia="Arial" w:hAnsi="Arial" w:cs="Arial"/>
          <w:color w:val="916F41"/>
          <w:sz w:val="24"/>
          <w:szCs w:val="24"/>
        </w:rPr>
        <w:t>ARTÍCULO 63°. -</w:t>
      </w:r>
      <w:r>
        <w:rPr>
          <w:rFonts w:ascii="Arial" w:eastAsia="Arial" w:hAnsi="Arial" w:cs="Arial"/>
          <w:sz w:val="24"/>
          <w:szCs w:val="24"/>
        </w:rPr>
        <w:t xml:space="preserve"> MEDIDA CAUTELAR EN SEDE ARBITRAL</w:t>
      </w:r>
    </w:p>
    <w:p w14:paraId="365D7B19" w14:textId="77777777" w:rsidR="00CD23AE" w:rsidRDefault="00127FFC">
      <w:pPr>
        <w:numPr>
          <w:ilvl w:val="0"/>
          <w:numId w:val="67"/>
        </w:numPr>
        <w:pBdr>
          <w:top w:val="nil"/>
          <w:left w:val="nil"/>
          <w:bottom w:val="nil"/>
          <w:right w:val="nil"/>
          <w:between w:val="nil"/>
        </w:pBdr>
        <w:tabs>
          <w:tab w:val="left" w:pos="775"/>
        </w:tabs>
        <w:spacing w:before="220" w:line="273" w:lineRule="auto"/>
        <w:ind w:left="482" w:right="197" w:firstLine="0"/>
        <w:jc w:val="both"/>
        <w:rPr>
          <w:rFonts w:ascii="Arial" w:eastAsia="Arial" w:hAnsi="Arial" w:cs="Arial"/>
        </w:rPr>
      </w:pPr>
      <w:r>
        <w:rPr>
          <w:rFonts w:ascii="Arial" w:eastAsia="Arial" w:hAnsi="Arial" w:cs="Arial"/>
        </w:rPr>
        <w:t>Una vez constituido el tribunal arbitral a pedido de cualquiera de las partes, los árbitros podrán dictar las medidas cautelares que consideren necesarias, para garantizar la eficacia del laudo, pudiendo exigir las garantías que estimen necesarias para asegurar el resarcimiento de los daños y perjuicios que pudiera ocasionar la ejecución de la medida.</w:t>
      </w:r>
    </w:p>
    <w:p w14:paraId="3B483890" w14:textId="77777777" w:rsidR="00CD23AE" w:rsidRDefault="00127FFC">
      <w:pPr>
        <w:numPr>
          <w:ilvl w:val="0"/>
          <w:numId w:val="67"/>
        </w:numPr>
        <w:pBdr>
          <w:top w:val="nil"/>
          <w:left w:val="nil"/>
          <w:bottom w:val="nil"/>
          <w:right w:val="nil"/>
          <w:between w:val="nil"/>
        </w:pBdr>
        <w:tabs>
          <w:tab w:val="left" w:pos="793"/>
        </w:tabs>
        <w:spacing w:before="188" w:line="273" w:lineRule="auto"/>
        <w:ind w:left="482" w:right="197" w:firstLine="0"/>
        <w:jc w:val="both"/>
        <w:rPr>
          <w:rFonts w:ascii="Arial" w:eastAsia="Arial" w:hAnsi="Arial" w:cs="Arial"/>
        </w:rPr>
      </w:pPr>
      <w:r>
        <w:rPr>
          <w:rFonts w:ascii="Arial" w:eastAsia="Arial" w:hAnsi="Arial" w:cs="Arial"/>
        </w:rPr>
        <w:t>Por medida cautelar se entenderá toda medida temporal contenida en una decisión motivada que tenga o no forma de laudo, por la que, en cualquier momento previo a la emisión del laudo que resuelva definitivamente la controversia, los árbitros ordenan a una de las partes:</w:t>
      </w:r>
    </w:p>
    <w:p w14:paraId="5CAEB4EB" w14:textId="77777777" w:rsidR="00CD23AE" w:rsidRDefault="00127FFC">
      <w:pPr>
        <w:numPr>
          <w:ilvl w:val="0"/>
          <w:numId w:val="74"/>
        </w:numPr>
        <w:pBdr>
          <w:top w:val="nil"/>
          <w:left w:val="nil"/>
          <w:bottom w:val="nil"/>
          <w:right w:val="nil"/>
          <w:between w:val="nil"/>
        </w:pBdr>
        <w:tabs>
          <w:tab w:val="left" w:pos="793"/>
        </w:tabs>
        <w:spacing w:before="90"/>
        <w:ind w:right="197"/>
        <w:jc w:val="both"/>
        <w:rPr>
          <w:rFonts w:ascii="Arial" w:eastAsia="Arial" w:hAnsi="Arial" w:cs="Arial"/>
        </w:rPr>
      </w:pPr>
      <w:r>
        <w:rPr>
          <w:rFonts w:ascii="Arial" w:eastAsia="Arial" w:hAnsi="Arial" w:cs="Arial"/>
        </w:rPr>
        <w:t>Que mantenga o restablezca el statu quo en espera de que se resuelva la controversia.</w:t>
      </w:r>
    </w:p>
    <w:p w14:paraId="355F7596" w14:textId="77777777" w:rsidR="00CD23AE" w:rsidRDefault="00127FFC">
      <w:pPr>
        <w:numPr>
          <w:ilvl w:val="0"/>
          <w:numId w:val="74"/>
        </w:numPr>
        <w:pBdr>
          <w:top w:val="nil"/>
          <w:left w:val="nil"/>
          <w:bottom w:val="nil"/>
          <w:right w:val="nil"/>
          <w:between w:val="nil"/>
        </w:pBdr>
        <w:tabs>
          <w:tab w:val="left" w:pos="793"/>
        </w:tabs>
        <w:spacing w:before="90"/>
        <w:ind w:right="197"/>
        <w:jc w:val="both"/>
        <w:rPr>
          <w:rFonts w:ascii="Arial" w:eastAsia="Arial" w:hAnsi="Arial" w:cs="Arial"/>
        </w:rPr>
      </w:pPr>
      <w:r>
        <w:rPr>
          <w:rFonts w:ascii="Arial" w:eastAsia="Arial" w:hAnsi="Arial" w:cs="Arial"/>
        </w:rPr>
        <w:t>Que adopte medidas para impedir algún daño actual o inminente o el menoscabo del proceso arbitral, o que se abstenga de llevar a cabo ciertos actos que probablemente ocasionarían dicho daño o menoscabo al proceso arbitral.</w:t>
      </w:r>
    </w:p>
    <w:p w14:paraId="2A2EC9A5" w14:textId="77777777" w:rsidR="00CD23AE" w:rsidRDefault="00127FFC">
      <w:pPr>
        <w:numPr>
          <w:ilvl w:val="0"/>
          <w:numId w:val="74"/>
        </w:numPr>
        <w:pBdr>
          <w:top w:val="nil"/>
          <w:left w:val="nil"/>
          <w:bottom w:val="nil"/>
          <w:right w:val="nil"/>
          <w:between w:val="nil"/>
        </w:pBdr>
        <w:tabs>
          <w:tab w:val="left" w:pos="793"/>
        </w:tabs>
        <w:spacing w:before="90"/>
        <w:ind w:right="197"/>
        <w:jc w:val="both"/>
        <w:rPr>
          <w:rFonts w:ascii="Arial" w:eastAsia="Arial" w:hAnsi="Arial" w:cs="Arial"/>
        </w:rPr>
      </w:pPr>
      <w:r>
        <w:rPr>
          <w:rFonts w:ascii="Arial" w:eastAsia="Arial" w:hAnsi="Arial" w:cs="Arial"/>
        </w:rPr>
        <w:t>Que proporcione algún medio para preservar bienes que permitan ejecutar el laudo subsiguiente.</w:t>
      </w:r>
    </w:p>
    <w:p w14:paraId="5FFA83B9" w14:textId="77777777" w:rsidR="00CD23AE" w:rsidRDefault="00CD23AE">
      <w:pPr>
        <w:pBdr>
          <w:top w:val="nil"/>
          <w:left w:val="nil"/>
          <w:bottom w:val="nil"/>
          <w:right w:val="nil"/>
          <w:between w:val="nil"/>
        </w:pBdr>
        <w:tabs>
          <w:tab w:val="left" w:pos="793"/>
        </w:tabs>
        <w:spacing w:before="90"/>
        <w:ind w:left="1202" w:right="197"/>
        <w:jc w:val="both"/>
        <w:rPr>
          <w:rFonts w:ascii="Arial" w:eastAsia="Arial" w:hAnsi="Arial" w:cs="Arial"/>
        </w:rPr>
      </w:pPr>
    </w:p>
    <w:p w14:paraId="289C46AC" w14:textId="77777777" w:rsidR="00CD23AE" w:rsidRDefault="00127FFC">
      <w:pPr>
        <w:numPr>
          <w:ilvl w:val="0"/>
          <w:numId w:val="74"/>
        </w:numPr>
        <w:pBdr>
          <w:top w:val="nil"/>
          <w:left w:val="nil"/>
          <w:bottom w:val="nil"/>
          <w:right w:val="nil"/>
          <w:between w:val="nil"/>
        </w:pBdr>
        <w:tabs>
          <w:tab w:val="left" w:pos="793"/>
        </w:tabs>
        <w:spacing w:before="90"/>
        <w:ind w:right="197"/>
        <w:jc w:val="both"/>
        <w:rPr>
          <w:rFonts w:ascii="Arial" w:eastAsia="Arial" w:hAnsi="Arial" w:cs="Arial"/>
        </w:rPr>
      </w:pPr>
      <w:r>
        <w:rPr>
          <w:rFonts w:ascii="Arial" w:eastAsia="Arial" w:hAnsi="Arial" w:cs="Arial"/>
        </w:rPr>
        <w:t>Que preserve elementos de prueba que pudieran ser relevantes y pertinentes para resolver la controversia.</w:t>
      </w:r>
    </w:p>
    <w:p w14:paraId="0E4FEEA2" w14:textId="77777777" w:rsidR="00CD23AE" w:rsidRDefault="00CD23AE">
      <w:pPr>
        <w:pBdr>
          <w:top w:val="nil"/>
          <w:left w:val="nil"/>
          <w:bottom w:val="nil"/>
          <w:right w:val="nil"/>
          <w:between w:val="nil"/>
        </w:pBdr>
        <w:spacing w:before="63"/>
        <w:jc w:val="both"/>
        <w:rPr>
          <w:rFonts w:ascii="Arial" w:eastAsia="Arial" w:hAnsi="Arial" w:cs="Arial"/>
        </w:rPr>
      </w:pPr>
    </w:p>
    <w:p w14:paraId="0E9F640C" w14:textId="77777777" w:rsidR="005E41D0" w:rsidRDefault="005E41D0" w:rsidP="005E41D0">
      <w:pPr>
        <w:pStyle w:val="Ttulo6"/>
        <w:jc w:val="both"/>
        <w:rPr>
          <w:rFonts w:ascii="Arial" w:eastAsia="Arial" w:hAnsi="Arial" w:cs="Arial"/>
          <w:color w:val="916F41"/>
          <w:sz w:val="24"/>
          <w:szCs w:val="24"/>
        </w:rPr>
      </w:pPr>
    </w:p>
    <w:p w14:paraId="590E1861" w14:textId="77777777" w:rsidR="005E41D0" w:rsidRDefault="005E41D0" w:rsidP="005E41D0">
      <w:pPr>
        <w:pStyle w:val="Ttulo6"/>
        <w:jc w:val="both"/>
        <w:rPr>
          <w:rFonts w:ascii="Arial" w:eastAsia="Arial" w:hAnsi="Arial" w:cs="Arial"/>
          <w:color w:val="916F41"/>
          <w:sz w:val="24"/>
          <w:szCs w:val="24"/>
        </w:rPr>
      </w:pPr>
    </w:p>
    <w:p w14:paraId="2B826E88" w14:textId="13CDCBBF" w:rsidR="00CD23AE" w:rsidRDefault="00127FFC" w:rsidP="005E41D0">
      <w:pPr>
        <w:pStyle w:val="Ttulo6"/>
        <w:jc w:val="both"/>
        <w:rPr>
          <w:rFonts w:ascii="Arial" w:eastAsia="Arial" w:hAnsi="Arial" w:cs="Arial"/>
          <w:sz w:val="24"/>
          <w:szCs w:val="24"/>
        </w:rPr>
      </w:pPr>
      <w:r>
        <w:rPr>
          <w:rFonts w:ascii="Arial" w:eastAsia="Arial" w:hAnsi="Arial" w:cs="Arial"/>
          <w:color w:val="916F41"/>
          <w:sz w:val="24"/>
          <w:szCs w:val="24"/>
        </w:rPr>
        <w:lastRenderedPageBreak/>
        <w:t>ARTÍCULO 64°. -</w:t>
      </w:r>
      <w:r>
        <w:rPr>
          <w:rFonts w:ascii="Arial" w:eastAsia="Arial" w:hAnsi="Arial" w:cs="Arial"/>
          <w:sz w:val="24"/>
          <w:szCs w:val="24"/>
        </w:rPr>
        <w:t xml:space="preserve"> MEDIDA CAUTELAR EN SEDE JUDICIAL</w:t>
      </w:r>
    </w:p>
    <w:p w14:paraId="45D71B4B" w14:textId="77777777" w:rsidR="00CD23AE" w:rsidRDefault="00127FFC">
      <w:pPr>
        <w:pBdr>
          <w:top w:val="nil"/>
          <w:left w:val="nil"/>
          <w:bottom w:val="nil"/>
          <w:right w:val="nil"/>
          <w:between w:val="nil"/>
        </w:pBdr>
        <w:spacing w:before="220" w:line="273" w:lineRule="auto"/>
        <w:ind w:left="482" w:right="197"/>
        <w:jc w:val="both"/>
        <w:rPr>
          <w:rFonts w:ascii="Arial" w:eastAsia="Arial" w:hAnsi="Arial" w:cs="Arial"/>
        </w:rPr>
      </w:pPr>
      <w:r>
        <w:rPr>
          <w:rFonts w:ascii="Arial" w:eastAsia="Arial" w:hAnsi="Arial" w:cs="Arial"/>
        </w:rPr>
        <w:t>Las medidas cautelares solicitadas a una autoridad judicial previas a la constitución del tribunal arbitral no son incompatibles con el arbitraje ni pueden ser consideradas como una renuncia a él.</w:t>
      </w:r>
    </w:p>
    <w:p w14:paraId="43E1B8E2" w14:textId="77777777" w:rsidR="005E41D0" w:rsidRDefault="005E41D0" w:rsidP="005E41D0">
      <w:pPr>
        <w:pStyle w:val="Ttulo6"/>
        <w:jc w:val="both"/>
        <w:rPr>
          <w:rFonts w:ascii="Arial" w:eastAsia="Arial" w:hAnsi="Arial" w:cs="Arial"/>
          <w:color w:val="916F41"/>
          <w:sz w:val="24"/>
          <w:szCs w:val="24"/>
        </w:rPr>
      </w:pPr>
    </w:p>
    <w:p w14:paraId="4D8F8860" w14:textId="0CCA31B6" w:rsidR="00CD23AE" w:rsidRDefault="00127FFC" w:rsidP="005E41D0">
      <w:pPr>
        <w:pStyle w:val="Ttulo6"/>
        <w:jc w:val="both"/>
        <w:rPr>
          <w:rFonts w:ascii="Arial" w:eastAsia="Arial" w:hAnsi="Arial" w:cs="Arial"/>
          <w:sz w:val="24"/>
          <w:szCs w:val="24"/>
        </w:rPr>
      </w:pPr>
      <w:r>
        <w:rPr>
          <w:rFonts w:ascii="Arial" w:eastAsia="Arial" w:hAnsi="Arial" w:cs="Arial"/>
          <w:color w:val="916F41"/>
          <w:sz w:val="24"/>
          <w:szCs w:val="24"/>
        </w:rPr>
        <w:t>ARTÍCULO 65°. -</w:t>
      </w:r>
      <w:r>
        <w:rPr>
          <w:rFonts w:ascii="Arial" w:eastAsia="Arial" w:hAnsi="Arial" w:cs="Arial"/>
          <w:sz w:val="24"/>
          <w:szCs w:val="24"/>
        </w:rPr>
        <w:t xml:space="preserve"> CADUCIDAD DE LA MEDIDA CAUTELAR</w:t>
      </w:r>
    </w:p>
    <w:p w14:paraId="166F9E6C" w14:textId="77777777" w:rsidR="00CD23AE" w:rsidRDefault="00127FFC">
      <w:pPr>
        <w:pBdr>
          <w:top w:val="nil"/>
          <w:left w:val="nil"/>
          <w:bottom w:val="nil"/>
          <w:right w:val="nil"/>
          <w:between w:val="nil"/>
        </w:pBdr>
        <w:spacing w:before="220" w:line="273" w:lineRule="auto"/>
        <w:ind w:left="482"/>
        <w:jc w:val="both"/>
        <w:rPr>
          <w:rFonts w:ascii="Arial" w:eastAsia="Arial" w:hAnsi="Arial" w:cs="Arial"/>
        </w:rPr>
      </w:pPr>
      <w:r>
        <w:rPr>
          <w:rFonts w:ascii="Arial" w:eastAsia="Arial" w:hAnsi="Arial" w:cs="Arial"/>
        </w:rPr>
        <w:t>Las medidas cautelares dictadas en sede judicial previas al arbitraje caducan de acuerdo con lo siguiente:</w:t>
      </w:r>
    </w:p>
    <w:p w14:paraId="531D5D04" w14:textId="77777777" w:rsidR="00CD23AE" w:rsidRDefault="00127FFC">
      <w:pPr>
        <w:numPr>
          <w:ilvl w:val="0"/>
          <w:numId w:val="56"/>
        </w:numPr>
        <w:pBdr>
          <w:top w:val="nil"/>
          <w:left w:val="nil"/>
          <w:bottom w:val="nil"/>
          <w:right w:val="nil"/>
          <w:between w:val="nil"/>
        </w:pBdr>
        <w:tabs>
          <w:tab w:val="left" w:pos="710"/>
        </w:tabs>
        <w:spacing w:before="192" w:line="273" w:lineRule="auto"/>
        <w:ind w:left="482" w:right="197" w:firstLine="0"/>
        <w:jc w:val="both"/>
        <w:rPr>
          <w:rFonts w:ascii="Arial" w:eastAsia="Arial" w:hAnsi="Arial" w:cs="Arial"/>
        </w:rPr>
      </w:pPr>
      <w:r>
        <w:rPr>
          <w:rFonts w:ascii="Arial" w:eastAsia="Arial" w:hAnsi="Arial" w:cs="Arial"/>
        </w:rPr>
        <w:t>Si una vez ejecutada la medida cautelar, la parte beneficiada con ella no solicita el inicio del arbitraje dentro de los diez (10) días hábiles siguientes, salvo que lo hubiera iniciado anteriormente.</w:t>
      </w:r>
    </w:p>
    <w:p w14:paraId="28863CBE" w14:textId="77777777" w:rsidR="00CD23AE" w:rsidRDefault="00127FFC">
      <w:pPr>
        <w:numPr>
          <w:ilvl w:val="0"/>
          <w:numId w:val="56"/>
        </w:numPr>
        <w:pBdr>
          <w:top w:val="nil"/>
          <w:left w:val="nil"/>
          <w:bottom w:val="nil"/>
          <w:right w:val="nil"/>
          <w:between w:val="nil"/>
        </w:pBdr>
        <w:tabs>
          <w:tab w:val="left" w:pos="769"/>
        </w:tabs>
        <w:spacing w:before="191" w:line="273" w:lineRule="auto"/>
        <w:ind w:left="482" w:right="197" w:firstLine="0"/>
        <w:jc w:val="both"/>
        <w:rPr>
          <w:rFonts w:ascii="Arial" w:eastAsia="Arial" w:hAnsi="Arial" w:cs="Arial"/>
        </w:rPr>
      </w:pPr>
      <w:r>
        <w:rPr>
          <w:rFonts w:ascii="Arial" w:eastAsia="Arial" w:hAnsi="Arial" w:cs="Arial"/>
        </w:rPr>
        <w:t>Si iniciado el arbitraje, el tribunal arbitral no se constituye dentro de los noventa (90) días hábiles siguientes de ejecutada la medida.</w:t>
      </w:r>
    </w:p>
    <w:p w14:paraId="20CA003A" w14:textId="77777777" w:rsidR="005E41D0" w:rsidRDefault="005E41D0" w:rsidP="005E41D0">
      <w:pPr>
        <w:pStyle w:val="Ttulo6"/>
        <w:tabs>
          <w:tab w:val="left" w:pos="2065"/>
          <w:tab w:val="left" w:pos="2775"/>
          <w:tab w:val="left" w:pos="3090"/>
          <w:tab w:val="left" w:pos="4409"/>
          <w:tab w:val="left" w:pos="6058"/>
          <w:tab w:val="left" w:pos="7408"/>
          <w:tab w:val="left" w:pos="8208"/>
          <w:tab w:val="left" w:pos="9633"/>
        </w:tabs>
        <w:ind w:right="198"/>
        <w:jc w:val="both"/>
        <w:rPr>
          <w:rFonts w:ascii="Arial" w:eastAsia="Arial" w:hAnsi="Arial" w:cs="Arial"/>
          <w:color w:val="916F41"/>
          <w:sz w:val="24"/>
          <w:szCs w:val="24"/>
        </w:rPr>
      </w:pPr>
    </w:p>
    <w:p w14:paraId="4A58BE1B" w14:textId="457E7E8F" w:rsidR="00CD23AE" w:rsidRDefault="00127FFC" w:rsidP="005E41D0">
      <w:pPr>
        <w:pStyle w:val="Ttulo6"/>
        <w:tabs>
          <w:tab w:val="left" w:pos="2065"/>
          <w:tab w:val="left" w:pos="2775"/>
          <w:tab w:val="left" w:pos="3090"/>
          <w:tab w:val="left" w:pos="4409"/>
          <w:tab w:val="left" w:pos="6058"/>
          <w:tab w:val="left" w:pos="7408"/>
          <w:tab w:val="left" w:pos="8208"/>
          <w:tab w:val="left" w:pos="9633"/>
        </w:tabs>
        <w:ind w:right="198"/>
        <w:jc w:val="both"/>
        <w:rPr>
          <w:rFonts w:ascii="Arial" w:eastAsia="Arial" w:hAnsi="Arial" w:cs="Arial"/>
          <w:sz w:val="24"/>
          <w:szCs w:val="24"/>
        </w:rPr>
      </w:pPr>
      <w:r>
        <w:rPr>
          <w:rFonts w:ascii="Arial" w:eastAsia="Arial" w:hAnsi="Arial" w:cs="Arial"/>
          <w:color w:val="916F41"/>
          <w:sz w:val="24"/>
          <w:szCs w:val="24"/>
        </w:rPr>
        <w:t>ARTÍCULO</w:t>
      </w:r>
      <w:r>
        <w:rPr>
          <w:rFonts w:ascii="Arial" w:eastAsia="Arial" w:hAnsi="Arial" w:cs="Arial"/>
          <w:color w:val="916F41"/>
          <w:sz w:val="24"/>
          <w:szCs w:val="24"/>
        </w:rPr>
        <w:tab/>
        <w:t>66°.</w:t>
      </w:r>
      <w:r>
        <w:rPr>
          <w:rFonts w:ascii="Arial" w:eastAsia="Arial" w:hAnsi="Arial" w:cs="Arial"/>
          <w:color w:val="916F41"/>
          <w:sz w:val="24"/>
          <w:szCs w:val="24"/>
        </w:rPr>
        <w:tab/>
        <w:t>-</w:t>
      </w:r>
      <w:r>
        <w:rPr>
          <w:rFonts w:ascii="Arial" w:eastAsia="Arial" w:hAnsi="Arial" w:cs="Arial"/>
          <w:sz w:val="24"/>
          <w:szCs w:val="24"/>
        </w:rPr>
        <w:tab/>
        <w:t>MEDIDA</w:t>
      </w:r>
      <w:r>
        <w:rPr>
          <w:rFonts w:ascii="Arial" w:eastAsia="Arial" w:hAnsi="Arial" w:cs="Arial"/>
          <w:sz w:val="24"/>
          <w:szCs w:val="24"/>
        </w:rPr>
        <w:tab/>
        <w:t>CAUTELAR</w:t>
      </w:r>
      <w:r>
        <w:rPr>
          <w:rFonts w:ascii="Arial" w:eastAsia="Arial" w:hAnsi="Arial" w:cs="Arial"/>
          <w:sz w:val="24"/>
          <w:szCs w:val="24"/>
        </w:rPr>
        <w:tab/>
        <w:t>EMITIDA</w:t>
      </w:r>
      <w:r>
        <w:rPr>
          <w:rFonts w:ascii="Arial" w:eastAsia="Arial" w:hAnsi="Arial" w:cs="Arial"/>
          <w:sz w:val="24"/>
          <w:szCs w:val="24"/>
        </w:rPr>
        <w:tab/>
        <w:t>POR</w:t>
      </w:r>
      <w:r>
        <w:rPr>
          <w:rFonts w:ascii="Arial" w:eastAsia="Arial" w:hAnsi="Arial" w:cs="Arial"/>
          <w:sz w:val="24"/>
          <w:szCs w:val="24"/>
        </w:rPr>
        <w:tab/>
        <w:t>ÁRBITRO</w:t>
      </w:r>
      <w:r>
        <w:rPr>
          <w:rFonts w:ascii="Arial" w:eastAsia="Arial" w:hAnsi="Arial" w:cs="Arial"/>
          <w:sz w:val="24"/>
          <w:szCs w:val="24"/>
        </w:rPr>
        <w:tab/>
        <w:t>DE EMERGENCIA</w:t>
      </w:r>
    </w:p>
    <w:p w14:paraId="4981E248" w14:textId="77777777" w:rsidR="00CD23AE" w:rsidRDefault="00127FFC">
      <w:pPr>
        <w:numPr>
          <w:ilvl w:val="0"/>
          <w:numId w:val="45"/>
        </w:numPr>
        <w:pBdr>
          <w:top w:val="nil"/>
          <w:left w:val="nil"/>
          <w:bottom w:val="nil"/>
          <w:right w:val="nil"/>
          <w:between w:val="nil"/>
        </w:pBdr>
        <w:tabs>
          <w:tab w:val="left" w:pos="751"/>
        </w:tabs>
        <w:spacing w:before="212" w:line="273" w:lineRule="auto"/>
        <w:ind w:left="482" w:right="197" w:firstLine="0"/>
        <w:jc w:val="both"/>
        <w:rPr>
          <w:rFonts w:ascii="Arial" w:eastAsia="Arial" w:hAnsi="Arial" w:cs="Arial"/>
        </w:rPr>
      </w:pPr>
      <w:r>
        <w:rPr>
          <w:rFonts w:ascii="Arial" w:eastAsia="Arial" w:hAnsi="Arial" w:cs="Arial"/>
        </w:rPr>
        <w:t>En tanto quede constituido el tribunal arbitral, cualquiera de las partes podrá solicitar al Centro la designación de un árbitro de emergencia, quien una vez constituido estará facultado para dictar las medidas cautelares que considere necesarias, siendo de aplicación el procedimiento específicamente establecido para el Servicio de Árbitro de Emergencia del Centro y, en lo que sea pertinente, la regulación de las medidas cautelares en la Ley de Arbitraje.</w:t>
      </w:r>
    </w:p>
    <w:p w14:paraId="16D2C125" w14:textId="77777777" w:rsidR="00CD23AE" w:rsidRDefault="00127FFC">
      <w:pPr>
        <w:numPr>
          <w:ilvl w:val="0"/>
          <w:numId w:val="45"/>
        </w:numPr>
        <w:pBdr>
          <w:top w:val="nil"/>
          <w:left w:val="nil"/>
          <w:bottom w:val="nil"/>
          <w:right w:val="nil"/>
          <w:between w:val="nil"/>
        </w:pBdr>
        <w:tabs>
          <w:tab w:val="left" w:pos="813"/>
        </w:tabs>
        <w:spacing w:before="133" w:line="273" w:lineRule="auto"/>
        <w:ind w:left="482" w:right="197" w:firstLine="0"/>
        <w:jc w:val="both"/>
        <w:rPr>
          <w:rFonts w:ascii="Arial" w:eastAsia="Arial" w:hAnsi="Arial" w:cs="Arial"/>
        </w:rPr>
      </w:pPr>
      <w:r>
        <w:rPr>
          <w:rFonts w:ascii="Arial" w:eastAsia="Arial" w:hAnsi="Arial" w:cs="Arial"/>
        </w:rPr>
        <w:t>La regulación de Árbitro de Emergencia, se implementará de manera progresiva y tendrá una regulación específica.</w:t>
      </w:r>
    </w:p>
    <w:p w14:paraId="0F5D9C53" w14:textId="77777777" w:rsidR="005E41D0" w:rsidRDefault="005E41D0" w:rsidP="005E41D0">
      <w:pPr>
        <w:pStyle w:val="Ttulo6"/>
        <w:jc w:val="both"/>
        <w:rPr>
          <w:rFonts w:ascii="Arial" w:eastAsia="Arial" w:hAnsi="Arial" w:cs="Arial"/>
          <w:color w:val="916F41"/>
          <w:sz w:val="22"/>
          <w:szCs w:val="22"/>
        </w:rPr>
      </w:pPr>
    </w:p>
    <w:p w14:paraId="2B5F5C80" w14:textId="556E9BD8" w:rsidR="00CD23AE" w:rsidRPr="005E41D0" w:rsidRDefault="00127FFC" w:rsidP="005E41D0">
      <w:pPr>
        <w:pStyle w:val="Ttulo6"/>
        <w:jc w:val="both"/>
        <w:rPr>
          <w:rFonts w:ascii="Arial" w:eastAsia="Arial" w:hAnsi="Arial" w:cs="Arial"/>
          <w:sz w:val="24"/>
          <w:szCs w:val="24"/>
        </w:rPr>
      </w:pPr>
      <w:r w:rsidRPr="005E41D0">
        <w:rPr>
          <w:rFonts w:ascii="Arial" w:eastAsia="Arial" w:hAnsi="Arial" w:cs="Arial"/>
          <w:color w:val="916F41"/>
          <w:sz w:val="24"/>
          <w:szCs w:val="24"/>
        </w:rPr>
        <w:t xml:space="preserve">ARTÍCULO 67°. - </w:t>
      </w:r>
      <w:r w:rsidRPr="005E41D0">
        <w:rPr>
          <w:rFonts w:ascii="Arial" w:eastAsia="Arial" w:hAnsi="Arial" w:cs="Arial"/>
          <w:sz w:val="24"/>
          <w:szCs w:val="24"/>
        </w:rPr>
        <w:t>TRÁMITE DE LA MEDIDA CAUTELAR</w:t>
      </w:r>
    </w:p>
    <w:p w14:paraId="046C521A" w14:textId="77777777" w:rsidR="00CD23AE" w:rsidRDefault="00127FFC">
      <w:pPr>
        <w:pBdr>
          <w:top w:val="nil"/>
          <w:left w:val="nil"/>
          <w:bottom w:val="nil"/>
          <w:right w:val="nil"/>
          <w:between w:val="nil"/>
        </w:pBdr>
        <w:spacing w:before="190" w:line="273" w:lineRule="auto"/>
        <w:ind w:left="482" w:right="197"/>
        <w:jc w:val="both"/>
        <w:rPr>
          <w:rFonts w:ascii="Arial" w:eastAsia="Arial" w:hAnsi="Arial" w:cs="Arial"/>
        </w:rPr>
      </w:pPr>
      <w:r>
        <w:rPr>
          <w:rFonts w:ascii="Arial" w:eastAsia="Arial" w:hAnsi="Arial" w:cs="Arial"/>
        </w:rPr>
        <w:t>Antes de resolver, los árbitros ponen en conocimiento de la parte contraria la solicitud cautelar; no obstante, pueden dictar una medida cautelar sin conocimiento de la parte contraria cuando quien la solicite justifique la necesidad de no hacerlo para garantizar que la eficacia de la medida no se frustre. Ejecutada la medida cautelar, cabe interponer recurso de reconsideración.</w:t>
      </w:r>
    </w:p>
    <w:p w14:paraId="3F5DA293" w14:textId="77777777" w:rsidR="005E41D0" w:rsidRDefault="005E41D0" w:rsidP="005E41D0">
      <w:pPr>
        <w:pStyle w:val="Ttulo6"/>
        <w:jc w:val="both"/>
        <w:rPr>
          <w:rFonts w:ascii="Arial" w:eastAsia="Arial" w:hAnsi="Arial" w:cs="Arial"/>
          <w:color w:val="916F41"/>
          <w:sz w:val="22"/>
          <w:szCs w:val="22"/>
        </w:rPr>
      </w:pPr>
    </w:p>
    <w:p w14:paraId="05161827" w14:textId="1542D121" w:rsidR="00CD23AE" w:rsidRPr="005E41D0" w:rsidRDefault="00127FFC" w:rsidP="005E41D0">
      <w:pPr>
        <w:pStyle w:val="Ttulo6"/>
        <w:jc w:val="both"/>
        <w:rPr>
          <w:rFonts w:ascii="Arial" w:eastAsia="Arial" w:hAnsi="Arial" w:cs="Arial"/>
          <w:sz w:val="24"/>
          <w:szCs w:val="24"/>
        </w:rPr>
      </w:pPr>
      <w:r w:rsidRPr="005E41D0">
        <w:rPr>
          <w:rFonts w:ascii="Arial" w:eastAsia="Arial" w:hAnsi="Arial" w:cs="Arial"/>
          <w:color w:val="916F41"/>
          <w:sz w:val="24"/>
          <w:szCs w:val="24"/>
        </w:rPr>
        <w:t xml:space="preserve">ARTÍCULO 68°. - </w:t>
      </w:r>
      <w:r w:rsidRPr="005E41D0">
        <w:rPr>
          <w:rFonts w:ascii="Arial" w:eastAsia="Arial" w:hAnsi="Arial" w:cs="Arial"/>
          <w:sz w:val="24"/>
          <w:szCs w:val="24"/>
        </w:rPr>
        <w:t>VARIACIÓN DE LA MEDIDA CAUTELAR</w:t>
      </w:r>
    </w:p>
    <w:p w14:paraId="3BA94CA3" w14:textId="77777777" w:rsidR="00CD23AE" w:rsidRDefault="00127FFC">
      <w:pPr>
        <w:numPr>
          <w:ilvl w:val="0"/>
          <w:numId w:val="34"/>
        </w:numPr>
        <w:pBdr>
          <w:top w:val="nil"/>
          <w:left w:val="nil"/>
          <w:bottom w:val="nil"/>
          <w:right w:val="nil"/>
          <w:between w:val="nil"/>
        </w:pBdr>
        <w:tabs>
          <w:tab w:val="left" w:pos="801"/>
        </w:tabs>
        <w:spacing w:before="190" w:line="273" w:lineRule="auto"/>
        <w:ind w:left="482" w:right="197" w:firstLine="0"/>
        <w:jc w:val="both"/>
        <w:rPr>
          <w:rFonts w:ascii="Arial" w:eastAsia="Arial" w:hAnsi="Arial" w:cs="Arial"/>
        </w:rPr>
      </w:pPr>
      <w:r>
        <w:rPr>
          <w:rFonts w:ascii="Arial" w:eastAsia="Arial" w:hAnsi="Arial" w:cs="Arial"/>
        </w:rPr>
        <w:t>A pedido de parte o excepcionalmente de oficio, los árbitros están facultados para modificar, sustituir y dejar sin efecto las medidas cautelares que hubiesen dictado, así como las medidas cautelares dictadas por una autoridad judicial, incluso cuando se trate de decisiones judiciales firmes.</w:t>
      </w:r>
    </w:p>
    <w:p w14:paraId="68EDD318" w14:textId="77777777" w:rsidR="00CD23AE" w:rsidRDefault="00127FFC">
      <w:pPr>
        <w:numPr>
          <w:ilvl w:val="0"/>
          <w:numId w:val="34"/>
        </w:numPr>
        <w:pBdr>
          <w:top w:val="nil"/>
          <w:left w:val="nil"/>
          <w:bottom w:val="nil"/>
          <w:right w:val="nil"/>
          <w:between w:val="nil"/>
        </w:pBdr>
        <w:tabs>
          <w:tab w:val="left" w:pos="839"/>
        </w:tabs>
        <w:spacing w:before="220" w:line="273" w:lineRule="auto"/>
        <w:ind w:left="482" w:right="197" w:firstLine="0"/>
        <w:jc w:val="both"/>
        <w:rPr>
          <w:rFonts w:ascii="Arial" w:eastAsia="Arial" w:hAnsi="Arial" w:cs="Arial"/>
        </w:rPr>
      </w:pPr>
      <w:r>
        <w:rPr>
          <w:rFonts w:ascii="Arial" w:eastAsia="Arial" w:hAnsi="Arial" w:cs="Arial"/>
        </w:rPr>
        <w:t>En cualquier caso, los árbitros notifican a las partes la decisión que modifica, sustituye o deja sin efecto una medida cautelar.</w:t>
      </w:r>
    </w:p>
    <w:p w14:paraId="06C81D4F" w14:textId="77777777" w:rsidR="00CD23AE" w:rsidRDefault="00127FFC">
      <w:pPr>
        <w:pStyle w:val="Ttulo6"/>
        <w:tabs>
          <w:tab w:val="left" w:pos="2093"/>
          <w:tab w:val="left" w:pos="2803"/>
          <w:tab w:val="left" w:pos="3118"/>
          <w:tab w:val="left" w:pos="4437"/>
          <w:tab w:val="left" w:pos="6086"/>
          <w:tab w:val="left" w:pos="7436"/>
          <w:tab w:val="left" w:pos="8236"/>
          <w:tab w:val="left" w:pos="9661"/>
        </w:tabs>
        <w:spacing w:before="300" w:line="268" w:lineRule="auto"/>
        <w:ind w:left="511" w:right="169"/>
        <w:jc w:val="both"/>
        <w:rPr>
          <w:rFonts w:ascii="Arial" w:eastAsia="Arial" w:hAnsi="Arial" w:cs="Arial"/>
          <w:sz w:val="24"/>
          <w:szCs w:val="24"/>
        </w:rPr>
      </w:pPr>
      <w:r>
        <w:rPr>
          <w:rFonts w:ascii="Arial" w:eastAsia="Arial" w:hAnsi="Arial" w:cs="Arial"/>
          <w:color w:val="916F41"/>
          <w:sz w:val="24"/>
          <w:szCs w:val="24"/>
        </w:rPr>
        <w:t>ARTÍCULO</w:t>
      </w:r>
      <w:r>
        <w:rPr>
          <w:rFonts w:ascii="Arial" w:eastAsia="Arial" w:hAnsi="Arial" w:cs="Arial"/>
          <w:color w:val="916F41"/>
          <w:sz w:val="24"/>
          <w:szCs w:val="24"/>
        </w:rPr>
        <w:tab/>
        <w:t xml:space="preserve">66°. – </w:t>
      </w:r>
      <w:r>
        <w:rPr>
          <w:rFonts w:ascii="Arial" w:eastAsia="Arial" w:hAnsi="Arial" w:cs="Arial"/>
          <w:sz w:val="24"/>
          <w:szCs w:val="24"/>
        </w:rPr>
        <w:t>MEDIDA CAUTELAR EMITIDA POR ÁRBITRO DE EMERGENCIA</w:t>
      </w:r>
    </w:p>
    <w:p w14:paraId="46190E28" w14:textId="77777777" w:rsidR="00CD23AE" w:rsidRDefault="00127FFC">
      <w:pPr>
        <w:pBdr>
          <w:top w:val="nil"/>
          <w:left w:val="nil"/>
          <w:bottom w:val="nil"/>
          <w:right w:val="nil"/>
          <w:between w:val="nil"/>
        </w:pBdr>
        <w:spacing w:before="96" w:line="273" w:lineRule="auto"/>
        <w:ind w:left="511" w:right="168"/>
        <w:jc w:val="both"/>
        <w:rPr>
          <w:rFonts w:ascii="Arial" w:eastAsia="Arial" w:hAnsi="Arial" w:cs="Arial"/>
        </w:rPr>
      </w:pPr>
      <w:r>
        <w:rPr>
          <w:rFonts w:ascii="Arial" w:eastAsia="Arial" w:hAnsi="Arial" w:cs="Arial"/>
        </w:rPr>
        <w:t>Las partes serán responsables de los costos y de los daños y perjuicios que la ejecución de las medidas cautelares solicitadas le ocasione a la contraparte, siempre que los árbitros consideren que dadas las circunstancias del caso no debió otorgarse la medida. En este caso, los árbitros pueden condenar al solicitante en cualquier momento del proceso, al pago de los costos y de los daños y perjuicios.</w:t>
      </w:r>
    </w:p>
    <w:p w14:paraId="4A40DFAF" w14:textId="77777777" w:rsidR="00CD23AE" w:rsidRDefault="00127FFC" w:rsidP="005E41D0">
      <w:pPr>
        <w:pStyle w:val="Ttulo6"/>
        <w:tabs>
          <w:tab w:val="left" w:pos="2104"/>
          <w:tab w:val="left" w:pos="2860"/>
          <w:tab w:val="left" w:pos="3213"/>
          <w:tab w:val="left" w:pos="4733"/>
          <w:tab w:val="left" w:pos="6751"/>
          <w:tab w:val="left" w:pos="7381"/>
          <w:tab w:val="left" w:pos="8344"/>
          <w:tab w:val="left" w:pos="9840"/>
        </w:tabs>
        <w:spacing w:before="288" w:line="268" w:lineRule="auto"/>
        <w:ind w:right="197"/>
        <w:jc w:val="both"/>
        <w:rPr>
          <w:rFonts w:ascii="Arial" w:eastAsia="Arial" w:hAnsi="Arial" w:cs="Arial"/>
          <w:sz w:val="24"/>
          <w:szCs w:val="24"/>
        </w:rPr>
      </w:pPr>
      <w:r>
        <w:rPr>
          <w:rFonts w:ascii="Arial" w:eastAsia="Arial" w:hAnsi="Arial" w:cs="Arial"/>
          <w:color w:val="916F41"/>
          <w:sz w:val="24"/>
          <w:szCs w:val="24"/>
        </w:rPr>
        <w:lastRenderedPageBreak/>
        <w:t>ARTÍCULO</w:t>
      </w:r>
      <w:r>
        <w:rPr>
          <w:rFonts w:ascii="Arial" w:eastAsia="Arial" w:hAnsi="Arial" w:cs="Arial"/>
          <w:color w:val="916F41"/>
          <w:sz w:val="24"/>
          <w:szCs w:val="24"/>
        </w:rPr>
        <w:tab/>
        <w:t>70°. –</w:t>
      </w:r>
      <w:r>
        <w:rPr>
          <w:rFonts w:ascii="Arial" w:eastAsia="Arial" w:hAnsi="Arial" w:cs="Arial"/>
          <w:sz w:val="24"/>
          <w:szCs w:val="24"/>
        </w:rPr>
        <w:t xml:space="preserve"> MEDIDAS CAUTELARES EN SEDE</w:t>
      </w:r>
      <w:r>
        <w:rPr>
          <w:rFonts w:ascii="Arial" w:eastAsia="Arial" w:hAnsi="Arial" w:cs="Arial"/>
          <w:sz w:val="24"/>
          <w:szCs w:val="24"/>
        </w:rPr>
        <w:tab/>
        <w:t>JUDICIAL Y COMPETENCIA DE LOS ÁRBITROS</w:t>
      </w:r>
    </w:p>
    <w:p w14:paraId="35D21D88" w14:textId="77777777" w:rsidR="00CD23AE" w:rsidRDefault="00127FFC">
      <w:pPr>
        <w:numPr>
          <w:ilvl w:val="0"/>
          <w:numId w:val="23"/>
        </w:numPr>
        <w:pBdr>
          <w:top w:val="nil"/>
          <w:left w:val="nil"/>
          <w:bottom w:val="nil"/>
          <w:right w:val="nil"/>
          <w:between w:val="nil"/>
        </w:pBdr>
        <w:tabs>
          <w:tab w:val="left" w:pos="752"/>
        </w:tabs>
        <w:spacing w:before="186" w:line="273" w:lineRule="auto"/>
        <w:ind w:left="482" w:right="197" w:firstLine="0"/>
        <w:jc w:val="both"/>
        <w:rPr>
          <w:rFonts w:ascii="Arial" w:eastAsia="Arial" w:hAnsi="Arial" w:cs="Arial"/>
        </w:rPr>
      </w:pPr>
      <w:r>
        <w:rPr>
          <w:rFonts w:ascii="Arial" w:eastAsia="Arial" w:hAnsi="Arial" w:cs="Arial"/>
        </w:rPr>
        <w:t>Una vez constituido el tribunal arbitral, las partes pueden informar a la autoridad judicial de este hecho y solicitarle la remisión del expediente en el estado que se encuentre, bajo responsabilidad. Sin perjuicio de ello, cualquiera de las partes puede presentar a los árbitros copia de dichos actuados.</w:t>
      </w:r>
    </w:p>
    <w:p w14:paraId="58C3C5E4" w14:textId="77777777" w:rsidR="00CD23AE" w:rsidRDefault="00127FFC">
      <w:pPr>
        <w:numPr>
          <w:ilvl w:val="0"/>
          <w:numId w:val="23"/>
        </w:numPr>
        <w:pBdr>
          <w:top w:val="nil"/>
          <w:left w:val="nil"/>
          <w:bottom w:val="nil"/>
          <w:right w:val="nil"/>
          <w:between w:val="nil"/>
        </w:pBdr>
        <w:tabs>
          <w:tab w:val="left" w:pos="794"/>
        </w:tabs>
        <w:spacing w:before="79" w:line="273" w:lineRule="auto"/>
        <w:ind w:left="482" w:right="197" w:firstLine="0"/>
        <w:jc w:val="both"/>
        <w:rPr>
          <w:rFonts w:ascii="Arial" w:eastAsia="Arial" w:hAnsi="Arial" w:cs="Arial"/>
        </w:rPr>
      </w:pPr>
      <w:r>
        <w:rPr>
          <w:rFonts w:ascii="Arial" w:eastAsia="Arial" w:hAnsi="Arial" w:cs="Arial"/>
        </w:rPr>
        <w:t>La demora de la autoridad judicial en la remisión de los actuados de la medida cautelar no impide a los árbitros resolver sobre la medida cautelar solicitada, dictada o impugnada en sede judicial. En este último caso, los árbitros tramitan la impugnación bajo los términos de una reconsideración contra la medida cautelar.</w:t>
      </w:r>
    </w:p>
    <w:p w14:paraId="625A55CC" w14:textId="77777777" w:rsidR="005E41D0" w:rsidRDefault="005E41D0" w:rsidP="005E41D0">
      <w:pPr>
        <w:pStyle w:val="Ttulo6"/>
        <w:jc w:val="both"/>
        <w:rPr>
          <w:rFonts w:ascii="Arial" w:eastAsia="Arial" w:hAnsi="Arial" w:cs="Arial"/>
          <w:color w:val="916F41"/>
          <w:sz w:val="24"/>
          <w:szCs w:val="24"/>
        </w:rPr>
      </w:pPr>
      <w:bookmarkStart w:id="13" w:name="_heading=h.r34j1tzcjbq8" w:colFirst="0" w:colLast="0"/>
      <w:bookmarkEnd w:id="13"/>
    </w:p>
    <w:p w14:paraId="2F7A3EEF" w14:textId="0632B51A" w:rsidR="00CD23AE" w:rsidRDefault="00127FFC" w:rsidP="005E41D0">
      <w:pPr>
        <w:pStyle w:val="Ttulo6"/>
        <w:jc w:val="both"/>
        <w:rPr>
          <w:rFonts w:ascii="Arial" w:eastAsia="Arial" w:hAnsi="Arial" w:cs="Arial"/>
          <w:sz w:val="24"/>
          <w:szCs w:val="24"/>
        </w:rPr>
      </w:pPr>
      <w:r>
        <w:rPr>
          <w:rFonts w:ascii="Arial" w:eastAsia="Arial" w:hAnsi="Arial" w:cs="Arial"/>
          <w:color w:val="916F41"/>
          <w:sz w:val="24"/>
          <w:szCs w:val="24"/>
        </w:rPr>
        <w:t xml:space="preserve">ARTÍCULO 71°. - </w:t>
      </w:r>
      <w:r>
        <w:rPr>
          <w:rFonts w:ascii="Arial" w:eastAsia="Arial" w:hAnsi="Arial" w:cs="Arial"/>
          <w:sz w:val="24"/>
          <w:szCs w:val="24"/>
        </w:rPr>
        <w:t>EJECUCIÓN DE LA MEDIDA CAUTELAR</w:t>
      </w:r>
    </w:p>
    <w:p w14:paraId="7FCD2D4A" w14:textId="77777777" w:rsidR="00CD23AE" w:rsidRDefault="00127FFC">
      <w:pPr>
        <w:numPr>
          <w:ilvl w:val="0"/>
          <w:numId w:val="12"/>
        </w:numPr>
        <w:pBdr>
          <w:top w:val="nil"/>
          <w:left w:val="nil"/>
          <w:bottom w:val="nil"/>
          <w:right w:val="nil"/>
          <w:between w:val="nil"/>
        </w:pBdr>
        <w:tabs>
          <w:tab w:val="left" w:pos="754"/>
        </w:tabs>
        <w:spacing w:before="220" w:line="273" w:lineRule="auto"/>
        <w:ind w:left="482" w:right="197" w:firstLine="0"/>
        <w:jc w:val="both"/>
        <w:rPr>
          <w:rFonts w:ascii="Arial" w:eastAsia="Arial" w:hAnsi="Arial" w:cs="Arial"/>
        </w:rPr>
      </w:pPr>
      <w:r>
        <w:rPr>
          <w:rFonts w:ascii="Arial" w:eastAsia="Arial" w:hAnsi="Arial" w:cs="Arial"/>
        </w:rPr>
        <w:t>A pedido de parte, los árbitros pueden ejecutar las medidas cautelares que hubiesen dictado, pudiendo solicitar la asistencia de la fuerza pública, de considerarlo conveniente a su sola discreción.</w:t>
      </w:r>
    </w:p>
    <w:p w14:paraId="7D4F613F" w14:textId="77777777" w:rsidR="00CD23AE" w:rsidRDefault="00127FFC">
      <w:pPr>
        <w:numPr>
          <w:ilvl w:val="0"/>
          <w:numId w:val="12"/>
        </w:numPr>
        <w:pBdr>
          <w:top w:val="nil"/>
          <w:left w:val="nil"/>
          <w:bottom w:val="nil"/>
          <w:right w:val="nil"/>
          <w:between w:val="nil"/>
        </w:pBdr>
        <w:tabs>
          <w:tab w:val="left" w:pos="763"/>
        </w:tabs>
        <w:spacing w:before="191" w:line="273" w:lineRule="auto"/>
        <w:ind w:left="482" w:right="197" w:firstLine="0"/>
        <w:jc w:val="both"/>
        <w:rPr>
          <w:rFonts w:ascii="Arial" w:eastAsia="Arial" w:hAnsi="Arial" w:cs="Arial"/>
        </w:rPr>
      </w:pPr>
      <w:r>
        <w:rPr>
          <w:rFonts w:ascii="Arial" w:eastAsia="Arial" w:hAnsi="Arial" w:cs="Arial"/>
        </w:rPr>
        <w:t>De existir un incumplimiento de la medida cautelar o cuando se requiera la intervención judicial para su ejecución, la parte beneficiada con la medida puede solicitar dicha ejecución al órgano judicial competente, de acuerdo con los requisitos establecidos en la legislación arbitral.</w:t>
      </w:r>
    </w:p>
    <w:p w14:paraId="6952A758" w14:textId="77777777" w:rsidR="00CD23AE" w:rsidRDefault="00CD23AE">
      <w:pPr>
        <w:pStyle w:val="Ttulo6"/>
        <w:tabs>
          <w:tab w:val="left" w:pos="2187"/>
          <w:tab w:val="left" w:pos="3003"/>
          <w:tab w:val="left" w:pos="3440"/>
          <w:tab w:val="left" w:pos="5042"/>
          <w:tab w:val="left" w:pos="7144"/>
          <w:tab w:val="left" w:pos="7856"/>
          <w:tab w:val="left" w:pos="8517"/>
        </w:tabs>
        <w:spacing w:before="1" w:line="268" w:lineRule="auto"/>
        <w:ind w:right="198" w:firstLine="482"/>
        <w:jc w:val="both"/>
        <w:rPr>
          <w:rFonts w:ascii="Arial" w:eastAsia="Arial" w:hAnsi="Arial" w:cs="Arial"/>
          <w:sz w:val="22"/>
          <w:szCs w:val="22"/>
        </w:rPr>
      </w:pPr>
    </w:p>
    <w:p w14:paraId="22EAC5BE" w14:textId="77777777" w:rsidR="00CD23AE" w:rsidRDefault="00127FFC" w:rsidP="005E41D0">
      <w:pPr>
        <w:pStyle w:val="Ttulo6"/>
        <w:tabs>
          <w:tab w:val="left" w:pos="2187"/>
          <w:tab w:val="left" w:pos="3003"/>
          <w:tab w:val="left" w:pos="3440"/>
          <w:tab w:val="left" w:pos="5042"/>
          <w:tab w:val="left" w:pos="7144"/>
          <w:tab w:val="left" w:pos="7856"/>
          <w:tab w:val="left" w:pos="8517"/>
        </w:tabs>
        <w:spacing w:before="1" w:line="268" w:lineRule="auto"/>
        <w:ind w:right="198"/>
        <w:jc w:val="both"/>
        <w:rPr>
          <w:rFonts w:ascii="Arial" w:eastAsia="Arial" w:hAnsi="Arial" w:cs="Arial"/>
          <w:sz w:val="24"/>
          <w:szCs w:val="24"/>
        </w:rPr>
      </w:pPr>
      <w:r>
        <w:rPr>
          <w:rFonts w:ascii="Arial" w:eastAsia="Arial" w:hAnsi="Arial" w:cs="Arial"/>
          <w:color w:val="916F41"/>
          <w:sz w:val="24"/>
          <w:szCs w:val="24"/>
        </w:rPr>
        <w:t>ARTÍCULO 72°. –</w:t>
      </w:r>
      <w:r>
        <w:rPr>
          <w:rFonts w:ascii="Arial" w:eastAsia="Arial" w:hAnsi="Arial" w:cs="Arial"/>
          <w:sz w:val="24"/>
          <w:szCs w:val="24"/>
        </w:rPr>
        <w:t xml:space="preserve"> MEDIDAS CAUTELARES EN EL ARBITRAJE INTERNACIONAL</w:t>
      </w:r>
    </w:p>
    <w:p w14:paraId="23B0DDA5" w14:textId="77777777" w:rsidR="00CD23AE" w:rsidRDefault="00127FFC">
      <w:pPr>
        <w:pBdr>
          <w:top w:val="nil"/>
          <w:left w:val="nil"/>
          <w:bottom w:val="nil"/>
          <w:right w:val="nil"/>
          <w:between w:val="nil"/>
        </w:pBdr>
        <w:spacing w:before="96" w:line="273" w:lineRule="auto"/>
        <w:ind w:left="482" w:right="197"/>
        <w:jc w:val="both"/>
        <w:rPr>
          <w:rFonts w:ascii="Arial" w:eastAsia="Arial" w:hAnsi="Arial" w:cs="Arial"/>
        </w:rPr>
      </w:pPr>
      <w:r>
        <w:rPr>
          <w:rFonts w:ascii="Arial" w:eastAsia="Arial" w:hAnsi="Arial" w:cs="Arial"/>
        </w:rPr>
        <w:t>En el arbitraje internacional, las partes durante el transcurso de las actuaciones pueden solicitar a la autoridad judicial competente, previa autorización de los árbitros, la adopción de las medias cautelares que estimen conveniente.</w:t>
      </w:r>
    </w:p>
    <w:p w14:paraId="5333D1B1" w14:textId="77777777" w:rsidR="00CD23AE" w:rsidRDefault="00CD23AE">
      <w:pPr>
        <w:pBdr>
          <w:top w:val="nil"/>
          <w:left w:val="nil"/>
          <w:bottom w:val="nil"/>
          <w:right w:val="nil"/>
          <w:between w:val="nil"/>
        </w:pBdr>
        <w:spacing w:before="96" w:line="273" w:lineRule="auto"/>
        <w:ind w:right="197"/>
        <w:jc w:val="both"/>
        <w:rPr>
          <w:rFonts w:ascii="Arial" w:eastAsia="Arial" w:hAnsi="Arial" w:cs="Arial"/>
        </w:rPr>
      </w:pPr>
    </w:p>
    <w:p w14:paraId="06004979" w14:textId="77777777" w:rsidR="00CD23AE" w:rsidRDefault="00127FFC" w:rsidP="005E41D0">
      <w:pPr>
        <w:pStyle w:val="Ttulo2"/>
        <w:spacing w:before="1"/>
        <w:jc w:val="both"/>
        <w:rPr>
          <w:rFonts w:ascii="Arial" w:eastAsia="Arial" w:hAnsi="Arial" w:cs="Arial"/>
          <w:b/>
          <w:color w:val="E80303"/>
          <w:sz w:val="26"/>
          <w:szCs w:val="26"/>
        </w:rPr>
      </w:pPr>
      <w:r>
        <w:rPr>
          <w:rFonts w:ascii="Arial" w:eastAsia="Arial" w:hAnsi="Arial" w:cs="Arial"/>
          <w:b/>
          <w:color w:val="E80303"/>
          <w:sz w:val="26"/>
          <w:szCs w:val="26"/>
        </w:rPr>
        <w:t>CAPÍTULO V: ANULACIÓN DE LAUDO ARBITRAL</w:t>
      </w:r>
    </w:p>
    <w:p w14:paraId="540F5616" w14:textId="77777777" w:rsidR="00CD23AE" w:rsidRDefault="00127FFC" w:rsidP="005E41D0">
      <w:pPr>
        <w:pStyle w:val="Ttulo6"/>
        <w:spacing w:before="240"/>
        <w:jc w:val="both"/>
        <w:rPr>
          <w:rFonts w:ascii="Arial" w:eastAsia="Arial" w:hAnsi="Arial" w:cs="Arial"/>
          <w:sz w:val="24"/>
          <w:szCs w:val="24"/>
        </w:rPr>
      </w:pPr>
      <w:r>
        <w:rPr>
          <w:rFonts w:ascii="Arial" w:eastAsia="Arial" w:hAnsi="Arial" w:cs="Arial"/>
          <w:color w:val="916F41"/>
          <w:sz w:val="24"/>
          <w:szCs w:val="24"/>
        </w:rPr>
        <w:t>ARTÍCULO 73°. -</w:t>
      </w:r>
      <w:r>
        <w:rPr>
          <w:rFonts w:ascii="Arial" w:eastAsia="Arial" w:hAnsi="Arial" w:cs="Arial"/>
          <w:sz w:val="24"/>
          <w:szCs w:val="24"/>
        </w:rPr>
        <w:t xml:space="preserve"> ANULACIÓN DE LAUDO</w:t>
      </w:r>
    </w:p>
    <w:p w14:paraId="6B666D7F" w14:textId="77777777" w:rsidR="00CD23AE" w:rsidRDefault="00127FFC">
      <w:pPr>
        <w:numPr>
          <w:ilvl w:val="0"/>
          <w:numId w:val="79"/>
        </w:numPr>
        <w:pBdr>
          <w:top w:val="nil"/>
          <w:left w:val="nil"/>
          <w:bottom w:val="nil"/>
          <w:right w:val="nil"/>
          <w:between w:val="nil"/>
        </w:pBdr>
        <w:spacing w:before="220" w:line="273" w:lineRule="auto"/>
        <w:ind w:right="197"/>
        <w:jc w:val="both"/>
        <w:rPr>
          <w:rFonts w:ascii="Arial" w:eastAsia="Arial" w:hAnsi="Arial" w:cs="Arial"/>
        </w:rPr>
      </w:pPr>
      <w:r>
        <w:rPr>
          <w:rFonts w:ascii="Arial" w:eastAsia="Arial" w:hAnsi="Arial" w:cs="Arial"/>
        </w:rPr>
        <w:t>El laudo arbitral sólo puede ser impugnado a través de la interposición del recurso de anulación ante el Poder Judicial, con el objeto de revisar su validez, de acuerdo con las causales dispuestas por la Ley de Arbitraje.</w:t>
      </w:r>
    </w:p>
    <w:p w14:paraId="77538C14" w14:textId="6813253B" w:rsidR="00CD23AE" w:rsidRPr="005E41D0" w:rsidRDefault="00127FFC" w:rsidP="005E41D0">
      <w:pPr>
        <w:numPr>
          <w:ilvl w:val="0"/>
          <w:numId w:val="79"/>
        </w:numPr>
        <w:pBdr>
          <w:top w:val="nil"/>
          <w:left w:val="nil"/>
          <w:bottom w:val="nil"/>
          <w:right w:val="nil"/>
          <w:between w:val="nil"/>
        </w:pBdr>
        <w:spacing w:before="220" w:line="273" w:lineRule="auto"/>
        <w:ind w:right="197"/>
        <w:jc w:val="both"/>
        <w:rPr>
          <w:rFonts w:ascii="Arial" w:eastAsia="Arial" w:hAnsi="Arial" w:cs="Arial"/>
        </w:rPr>
      </w:pPr>
      <w:r>
        <w:rPr>
          <w:rFonts w:ascii="Arial" w:eastAsia="Arial" w:hAnsi="Arial" w:cs="Arial"/>
        </w:rPr>
        <w:t>En caso de que el Poder Judicial solicite copias del expediente arbitral, la parte que presentó el recurso debe abonar los gastos que signifique la emisión de las copias certificadas, de acuerdo con la tasa administrativa establecida por el Centro.</w:t>
      </w:r>
    </w:p>
    <w:p w14:paraId="5B31E0C9" w14:textId="77777777" w:rsidR="00CD23AE" w:rsidRDefault="00CD23AE">
      <w:pPr>
        <w:pBdr>
          <w:top w:val="nil"/>
          <w:left w:val="nil"/>
          <w:bottom w:val="nil"/>
          <w:right w:val="nil"/>
          <w:between w:val="nil"/>
        </w:pBdr>
        <w:spacing w:before="16"/>
        <w:jc w:val="both"/>
        <w:rPr>
          <w:rFonts w:ascii="Arial" w:eastAsia="Arial" w:hAnsi="Arial" w:cs="Arial"/>
          <w:color w:val="916F41"/>
        </w:rPr>
      </w:pPr>
    </w:p>
    <w:p w14:paraId="2389733C" w14:textId="77777777" w:rsidR="00CD23AE" w:rsidRDefault="00127FFC" w:rsidP="005E41D0">
      <w:pPr>
        <w:pStyle w:val="Ttulo6"/>
        <w:ind w:firstLine="85"/>
        <w:jc w:val="both"/>
        <w:rPr>
          <w:rFonts w:ascii="Arial" w:eastAsia="Arial" w:hAnsi="Arial" w:cs="Arial"/>
          <w:sz w:val="24"/>
          <w:szCs w:val="24"/>
        </w:rPr>
      </w:pPr>
      <w:r>
        <w:rPr>
          <w:rFonts w:ascii="Arial" w:eastAsia="Arial" w:hAnsi="Arial" w:cs="Arial"/>
          <w:color w:val="916F41"/>
          <w:sz w:val="24"/>
          <w:szCs w:val="24"/>
        </w:rPr>
        <w:t>ARTÍCULO 74°. -</w:t>
      </w:r>
      <w:r>
        <w:rPr>
          <w:rFonts w:ascii="Arial" w:eastAsia="Arial" w:hAnsi="Arial" w:cs="Arial"/>
          <w:sz w:val="24"/>
          <w:szCs w:val="24"/>
        </w:rPr>
        <w:t xml:space="preserve"> GARANTÍA</w:t>
      </w:r>
    </w:p>
    <w:p w14:paraId="109ECF01" w14:textId="3778171B" w:rsidR="005E41D0" w:rsidRDefault="00127FFC" w:rsidP="005E41D0">
      <w:pPr>
        <w:pStyle w:val="Prrafodelista"/>
        <w:numPr>
          <w:ilvl w:val="0"/>
          <w:numId w:val="80"/>
        </w:numPr>
        <w:pBdr>
          <w:top w:val="nil"/>
          <w:left w:val="nil"/>
          <w:bottom w:val="nil"/>
          <w:right w:val="nil"/>
          <w:between w:val="nil"/>
        </w:pBdr>
        <w:tabs>
          <w:tab w:val="left" w:pos="720"/>
        </w:tabs>
        <w:spacing w:before="94" w:line="273" w:lineRule="auto"/>
        <w:ind w:left="851"/>
        <w:rPr>
          <w:rFonts w:ascii="Arial" w:eastAsia="Arial" w:hAnsi="Arial" w:cs="Arial"/>
        </w:rPr>
      </w:pPr>
      <w:r w:rsidRPr="005E41D0">
        <w:rPr>
          <w:rFonts w:ascii="Arial" w:eastAsia="Arial" w:hAnsi="Arial" w:cs="Arial"/>
        </w:rPr>
        <w:t>Para suspender la ejecución del laudo, el recurso de anulación debe estar acompañado con el documento que contiene la constitución de fianza bancaria solidaria, incondicionada y de realización automática a favor de la otra parte, con una vigencia no menor de seis (6) meses y renovable hasta por tres (3) meses después de que se resuelva en definitiva el recurso de anulación y por una cantidad equivalente a la cuantía del valor de la condena contenida en el laudo.</w:t>
      </w:r>
    </w:p>
    <w:p w14:paraId="151B3410" w14:textId="4FA907B4" w:rsidR="005E41D0" w:rsidRDefault="005E41D0" w:rsidP="005E41D0">
      <w:pPr>
        <w:pStyle w:val="Prrafodelista"/>
        <w:pBdr>
          <w:top w:val="nil"/>
          <w:left w:val="nil"/>
          <w:bottom w:val="nil"/>
          <w:right w:val="nil"/>
          <w:between w:val="nil"/>
        </w:pBdr>
        <w:tabs>
          <w:tab w:val="left" w:pos="720"/>
        </w:tabs>
        <w:spacing w:before="94" w:line="273" w:lineRule="auto"/>
        <w:ind w:left="851"/>
        <w:rPr>
          <w:rFonts w:ascii="Arial" w:eastAsia="Arial" w:hAnsi="Arial" w:cs="Arial"/>
        </w:rPr>
      </w:pPr>
    </w:p>
    <w:p w14:paraId="22995F95" w14:textId="70F48CC6" w:rsidR="005E41D0" w:rsidRDefault="005E41D0" w:rsidP="005E41D0">
      <w:pPr>
        <w:pStyle w:val="Prrafodelista"/>
        <w:pBdr>
          <w:top w:val="nil"/>
          <w:left w:val="nil"/>
          <w:bottom w:val="nil"/>
          <w:right w:val="nil"/>
          <w:between w:val="nil"/>
        </w:pBdr>
        <w:tabs>
          <w:tab w:val="left" w:pos="720"/>
        </w:tabs>
        <w:spacing w:before="94" w:line="273" w:lineRule="auto"/>
        <w:ind w:left="851"/>
        <w:rPr>
          <w:rFonts w:ascii="Arial" w:eastAsia="Arial" w:hAnsi="Arial" w:cs="Arial"/>
        </w:rPr>
      </w:pPr>
    </w:p>
    <w:p w14:paraId="70C98A3A" w14:textId="77777777" w:rsidR="005E41D0" w:rsidRDefault="005E41D0" w:rsidP="005E41D0">
      <w:pPr>
        <w:pStyle w:val="Prrafodelista"/>
        <w:pBdr>
          <w:top w:val="nil"/>
          <w:left w:val="nil"/>
          <w:bottom w:val="nil"/>
          <w:right w:val="nil"/>
          <w:between w:val="nil"/>
        </w:pBdr>
        <w:tabs>
          <w:tab w:val="left" w:pos="720"/>
        </w:tabs>
        <w:spacing w:before="94" w:line="273" w:lineRule="auto"/>
        <w:ind w:left="851"/>
        <w:rPr>
          <w:rFonts w:ascii="Arial" w:eastAsia="Arial" w:hAnsi="Arial" w:cs="Arial"/>
        </w:rPr>
      </w:pPr>
    </w:p>
    <w:p w14:paraId="6B8A1F58" w14:textId="13AA8AE2" w:rsidR="00CD23AE" w:rsidRPr="005E41D0" w:rsidRDefault="00127FFC" w:rsidP="005E41D0">
      <w:pPr>
        <w:pStyle w:val="Prrafodelista"/>
        <w:numPr>
          <w:ilvl w:val="0"/>
          <w:numId w:val="80"/>
        </w:numPr>
        <w:pBdr>
          <w:top w:val="nil"/>
          <w:left w:val="nil"/>
          <w:bottom w:val="nil"/>
          <w:right w:val="nil"/>
          <w:between w:val="nil"/>
        </w:pBdr>
        <w:tabs>
          <w:tab w:val="left" w:pos="720"/>
        </w:tabs>
        <w:spacing w:before="94" w:line="273" w:lineRule="auto"/>
        <w:ind w:left="851"/>
        <w:rPr>
          <w:rFonts w:ascii="Arial" w:eastAsia="Arial" w:hAnsi="Arial" w:cs="Arial"/>
        </w:rPr>
      </w:pPr>
      <w:r w:rsidRPr="005E41D0">
        <w:rPr>
          <w:rFonts w:ascii="Arial" w:eastAsia="Arial" w:hAnsi="Arial" w:cs="Arial"/>
        </w:rPr>
        <w:lastRenderedPageBreak/>
        <w:t>Si el laudo contiene en todo o en parte un extremo declarativo que no es valorizable en dinero o si se requiere de una liquidación especial para determinar la obligación económica a la que se encuentra obligada la parte vencida, los árbitros deben fijar en el laudo o en su rectificación, interpretación, integración o exclusión, el monto que garantice el cumplimiento.</w:t>
      </w:r>
    </w:p>
    <w:p w14:paraId="2CE16011" w14:textId="77777777" w:rsidR="00CD23AE" w:rsidRDefault="00CD23AE">
      <w:pPr>
        <w:pBdr>
          <w:top w:val="nil"/>
          <w:left w:val="nil"/>
          <w:bottom w:val="nil"/>
          <w:right w:val="nil"/>
          <w:between w:val="nil"/>
        </w:pBdr>
        <w:spacing w:before="84"/>
        <w:jc w:val="both"/>
        <w:rPr>
          <w:rFonts w:ascii="Arial" w:eastAsia="Arial" w:hAnsi="Arial" w:cs="Arial"/>
        </w:rPr>
      </w:pPr>
    </w:p>
    <w:p w14:paraId="5D2F31A2" w14:textId="77777777" w:rsidR="00CD23AE" w:rsidRDefault="00127FFC" w:rsidP="005E41D0">
      <w:pPr>
        <w:pStyle w:val="Ttulo6"/>
        <w:ind w:left="567"/>
        <w:jc w:val="both"/>
        <w:rPr>
          <w:rFonts w:ascii="Arial" w:eastAsia="Arial" w:hAnsi="Arial" w:cs="Arial"/>
          <w:sz w:val="24"/>
          <w:szCs w:val="24"/>
        </w:rPr>
      </w:pPr>
      <w:r>
        <w:rPr>
          <w:rFonts w:ascii="Arial" w:eastAsia="Arial" w:hAnsi="Arial" w:cs="Arial"/>
          <w:color w:val="916F41"/>
          <w:sz w:val="24"/>
          <w:szCs w:val="24"/>
        </w:rPr>
        <w:t>ARTÍCULO 75°. -</w:t>
      </w:r>
      <w:r>
        <w:rPr>
          <w:rFonts w:ascii="Arial" w:eastAsia="Arial" w:hAnsi="Arial" w:cs="Arial"/>
          <w:sz w:val="24"/>
          <w:szCs w:val="24"/>
        </w:rPr>
        <w:t xml:space="preserve"> EFECTOS DEL RECURSO DE ANULACIÓN</w:t>
      </w:r>
    </w:p>
    <w:p w14:paraId="29D8562F" w14:textId="77777777" w:rsidR="005E41D0" w:rsidRDefault="00127FFC" w:rsidP="005E41D0">
      <w:pPr>
        <w:pStyle w:val="Prrafodelista"/>
        <w:numPr>
          <w:ilvl w:val="0"/>
          <w:numId w:val="75"/>
        </w:numPr>
        <w:pBdr>
          <w:top w:val="nil"/>
          <w:left w:val="nil"/>
          <w:bottom w:val="nil"/>
          <w:right w:val="nil"/>
          <w:between w:val="nil"/>
        </w:pBdr>
        <w:tabs>
          <w:tab w:val="left" w:pos="758"/>
        </w:tabs>
        <w:spacing w:before="220" w:line="273" w:lineRule="auto"/>
        <w:ind w:left="851"/>
        <w:rPr>
          <w:rFonts w:ascii="Arial" w:eastAsia="Arial" w:hAnsi="Arial" w:cs="Arial"/>
        </w:rPr>
      </w:pPr>
      <w:r w:rsidRPr="005E41D0">
        <w:rPr>
          <w:rFonts w:ascii="Arial" w:eastAsia="Arial" w:hAnsi="Arial" w:cs="Arial"/>
        </w:rPr>
        <w:t>La sola interposición del recurso de anulación no suspende los efectos del laudo ni de su ejecución.</w:t>
      </w:r>
    </w:p>
    <w:p w14:paraId="0CCEF7C2" w14:textId="7FBA5192" w:rsidR="00CD23AE" w:rsidRPr="005E41D0" w:rsidRDefault="00127FFC" w:rsidP="005E41D0">
      <w:pPr>
        <w:pStyle w:val="Prrafodelista"/>
        <w:numPr>
          <w:ilvl w:val="0"/>
          <w:numId w:val="75"/>
        </w:numPr>
        <w:pBdr>
          <w:top w:val="nil"/>
          <w:left w:val="nil"/>
          <w:bottom w:val="nil"/>
          <w:right w:val="nil"/>
          <w:between w:val="nil"/>
        </w:pBdr>
        <w:tabs>
          <w:tab w:val="left" w:pos="758"/>
        </w:tabs>
        <w:spacing w:before="220" w:line="273" w:lineRule="auto"/>
        <w:ind w:left="851"/>
        <w:rPr>
          <w:rFonts w:ascii="Arial" w:eastAsia="Arial" w:hAnsi="Arial" w:cs="Arial"/>
        </w:rPr>
      </w:pPr>
      <w:r w:rsidRPr="005E41D0">
        <w:rPr>
          <w:rFonts w:ascii="Arial" w:eastAsia="Arial" w:hAnsi="Arial" w:cs="Arial"/>
        </w:rPr>
        <w:t>No obstante, cabe la suspensión del laudo y de su ejecución a solicitud de quien interpone el recurso de anulación, siempre y cuando haya cumplido con lo dispuesto en el artículo anterior del presente Reglamento.</w:t>
      </w:r>
    </w:p>
    <w:p w14:paraId="7B038299" w14:textId="77777777" w:rsidR="00CD23AE" w:rsidRDefault="00CD23AE">
      <w:pPr>
        <w:pBdr>
          <w:top w:val="nil"/>
          <w:left w:val="nil"/>
          <w:bottom w:val="nil"/>
          <w:right w:val="nil"/>
          <w:between w:val="nil"/>
        </w:pBdr>
        <w:jc w:val="both"/>
        <w:rPr>
          <w:rFonts w:ascii="Arial" w:eastAsia="Arial" w:hAnsi="Arial" w:cs="Arial"/>
        </w:rPr>
      </w:pPr>
    </w:p>
    <w:p w14:paraId="50B61F77" w14:textId="77777777" w:rsidR="00CD23AE" w:rsidRDefault="00CD23AE">
      <w:pPr>
        <w:pBdr>
          <w:top w:val="nil"/>
          <w:left w:val="nil"/>
          <w:bottom w:val="nil"/>
          <w:right w:val="nil"/>
          <w:between w:val="nil"/>
        </w:pBdr>
        <w:jc w:val="both"/>
        <w:rPr>
          <w:rFonts w:ascii="Arial" w:eastAsia="Arial" w:hAnsi="Arial" w:cs="Arial"/>
        </w:rPr>
        <w:sectPr w:rsidR="00CD23AE">
          <w:headerReference w:type="default" r:id="rId23"/>
          <w:footerReference w:type="default" r:id="rId24"/>
          <w:pgSz w:w="11910" w:h="16850"/>
          <w:pgMar w:top="1492" w:right="992" w:bottom="908" w:left="708" w:header="0" w:footer="0" w:gutter="0"/>
          <w:cols w:space="720"/>
        </w:sectPr>
      </w:pPr>
    </w:p>
    <w:p w14:paraId="75E20A0B" w14:textId="01E4F253" w:rsidR="00CD23AE" w:rsidRDefault="00127FFC">
      <w:pPr>
        <w:pBdr>
          <w:top w:val="nil"/>
          <w:left w:val="nil"/>
          <w:bottom w:val="nil"/>
          <w:right w:val="nil"/>
          <w:between w:val="nil"/>
        </w:pBdr>
        <w:spacing w:before="110"/>
        <w:jc w:val="center"/>
        <w:rPr>
          <w:rFonts w:ascii="Arial" w:eastAsia="Arial" w:hAnsi="Arial" w:cs="Arial"/>
          <w:b/>
          <w:color w:val="E80303"/>
          <w:sz w:val="28"/>
          <w:szCs w:val="28"/>
        </w:rPr>
      </w:pPr>
      <w:r>
        <w:rPr>
          <w:rFonts w:ascii="Arial" w:eastAsia="Arial" w:hAnsi="Arial" w:cs="Arial"/>
          <w:b/>
          <w:color w:val="E80303"/>
          <w:sz w:val="28"/>
          <w:szCs w:val="28"/>
        </w:rPr>
        <w:lastRenderedPageBreak/>
        <w:t>SECCIÓN IV: COSTOS DEL ARBITRAJE</w:t>
      </w:r>
    </w:p>
    <w:p w14:paraId="47310BAE" w14:textId="77777777" w:rsidR="00B00FE6" w:rsidRDefault="00B00FE6">
      <w:pPr>
        <w:pBdr>
          <w:top w:val="nil"/>
          <w:left w:val="nil"/>
          <w:bottom w:val="nil"/>
          <w:right w:val="nil"/>
          <w:between w:val="nil"/>
        </w:pBdr>
        <w:spacing w:before="110"/>
        <w:jc w:val="center"/>
        <w:rPr>
          <w:rFonts w:ascii="Arial" w:eastAsia="Arial" w:hAnsi="Arial" w:cs="Arial"/>
          <w:b/>
          <w:color w:val="E80303"/>
          <w:sz w:val="28"/>
          <w:szCs w:val="28"/>
        </w:rPr>
      </w:pPr>
    </w:p>
    <w:p w14:paraId="0165442C" w14:textId="77777777" w:rsidR="00CD23AE" w:rsidRDefault="00127FFC" w:rsidP="005E41D0">
      <w:pPr>
        <w:pStyle w:val="Ttulo6"/>
        <w:jc w:val="both"/>
        <w:rPr>
          <w:rFonts w:ascii="Arial" w:eastAsia="Arial" w:hAnsi="Arial" w:cs="Arial"/>
          <w:sz w:val="24"/>
          <w:szCs w:val="24"/>
        </w:rPr>
      </w:pPr>
      <w:bookmarkStart w:id="14" w:name="_heading=h.ip5g6i8whwo" w:colFirst="0" w:colLast="0"/>
      <w:bookmarkEnd w:id="14"/>
      <w:r>
        <w:rPr>
          <w:rFonts w:ascii="Arial" w:eastAsia="Arial" w:hAnsi="Arial" w:cs="Arial"/>
          <w:color w:val="916F41"/>
          <w:sz w:val="24"/>
          <w:szCs w:val="24"/>
        </w:rPr>
        <w:t>ARTÍCULO 76°. -</w:t>
      </w:r>
      <w:r>
        <w:rPr>
          <w:rFonts w:ascii="Arial" w:eastAsia="Arial" w:hAnsi="Arial" w:cs="Arial"/>
          <w:sz w:val="24"/>
          <w:szCs w:val="24"/>
        </w:rPr>
        <w:t xml:space="preserve"> COSTOS DEL ARBITRAJE</w:t>
      </w:r>
    </w:p>
    <w:p w14:paraId="24F506A8" w14:textId="77777777" w:rsidR="00CD23AE" w:rsidRDefault="00127FFC">
      <w:pPr>
        <w:numPr>
          <w:ilvl w:val="0"/>
          <w:numId w:val="63"/>
        </w:numPr>
        <w:pBdr>
          <w:top w:val="nil"/>
          <w:left w:val="nil"/>
          <w:bottom w:val="nil"/>
          <w:right w:val="nil"/>
          <w:between w:val="nil"/>
        </w:pBdr>
        <w:tabs>
          <w:tab w:val="left" w:pos="717"/>
        </w:tabs>
        <w:spacing w:before="245"/>
        <w:ind w:left="717" w:hanging="235"/>
        <w:jc w:val="both"/>
        <w:rPr>
          <w:rFonts w:ascii="Arial" w:eastAsia="Arial" w:hAnsi="Arial" w:cs="Arial"/>
        </w:rPr>
      </w:pPr>
      <w:r>
        <w:rPr>
          <w:rFonts w:ascii="Arial" w:eastAsia="Arial" w:hAnsi="Arial" w:cs="Arial"/>
        </w:rPr>
        <w:t>Los costos de un arbitraje comprenden los siguientes conceptos:</w:t>
      </w:r>
    </w:p>
    <w:p w14:paraId="670D171F" w14:textId="77777777" w:rsidR="00CD23AE" w:rsidRDefault="00127FFC">
      <w:pPr>
        <w:numPr>
          <w:ilvl w:val="0"/>
          <w:numId w:val="76"/>
        </w:numPr>
        <w:pBdr>
          <w:top w:val="nil"/>
          <w:left w:val="nil"/>
          <w:bottom w:val="nil"/>
          <w:right w:val="nil"/>
          <w:between w:val="nil"/>
        </w:pBdr>
        <w:tabs>
          <w:tab w:val="left" w:pos="717"/>
        </w:tabs>
        <w:spacing w:before="245"/>
        <w:jc w:val="both"/>
        <w:rPr>
          <w:rFonts w:ascii="Arial" w:eastAsia="Arial" w:hAnsi="Arial" w:cs="Arial"/>
        </w:rPr>
      </w:pPr>
      <w:r>
        <w:rPr>
          <w:rFonts w:ascii="Arial" w:eastAsia="Arial" w:hAnsi="Arial" w:cs="Arial"/>
        </w:rPr>
        <w:t>Los gastos administrativos del Centro, por la gestión del arbitraje, compuesto por:</w:t>
      </w:r>
    </w:p>
    <w:p w14:paraId="7C3CFF86" w14:textId="77777777" w:rsidR="00CD23AE" w:rsidRDefault="00127FFC">
      <w:pPr>
        <w:numPr>
          <w:ilvl w:val="0"/>
          <w:numId w:val="77"/>
        </w:numPr>
        <w:pBdr>
          <w:top w:val="nil"/>
          <w:left w:val="nil"/>
          <w:bottom w:val="nil"/>
          <w:right w:val="nil"/>
          <w:between w:val="nil"/>
        </w:pBdr>
        <w:tabs>
          <w:tab w:val="left" w:pos="717"/>
        </w:tabs>
        <w:spacing w:before="245"/>
        <w:jc w:val="both"/>
        <w:rPr>
          <w:rFonts w:ascii="Arial" w:eastAsia="Arial" w:hAnsi="Arial" w:cs="Arial"/>
        </w:rPr>
      </w:pPr>
      <w:r>
        <w:rPr>
          <w:rFonts w:ascii="Arial" w:eastAsia="Arial" w:hAnsi="Arial" w:cs="Arial"/>
        </w:rPr>
        <w:t>Tasa por presentación de la solicitud de arbitraje</w:t>
      </w:r>
    </w:p>
    <w:p w14:paraId="4B23B88E" w14:textId="77777777" w:rsidR="00CD23AE" w:rsidRDefault="00127FFC">
      <w:pPr>
        <w:numPr>
          <w:ilvl w:val="0"/>
          <w:numId w:val="77"/>
        </w:numPr>
        <w:pBdr>
          <w:top w:val="nil"/>
          <w:left w:val="nil"/>
          <w:bottom w:val="nil"/>
          <w:right w:val="nil"/>
          <w:between w:val="nil"/>
        </w:pBdr>
        <w:tabs>
          <w:tab w:val="left" w:pos="717"/>
        </w:tabs>
        <w:spacing w:before="245"/>
        <w:jc w:val="both"/>
        <w:rPr>
          <w:rFonts w:ascii="Arial" w:eastAsia="Arial" w:hAnsi="Arial" w:cs="Arial"/>
        </w:rPr>
      </w:pPr>
      <w:r>
        <w:rPr>
          <w:rFonts w:ascii="Arial" w:eastAsia="Arial" w:hAnsi="Arial" w:cs="Arial"/>
        </w:rPr>
        <w:t>Tasa administrativa del Centro</w:t>
      </w:r>
    </w:p>
    <w:p w14:paraId="346C099C" w14:textId="77777777" w:rsidR="00CD23AE" w:rsidRDefault="00127FFC">
      <w:pPr>
        <w:numPr>
          <w:ilvl w:val="0"/>
          <w:numId w:val="76"/>
        </w:numPr>
        <w:pBdr>
          <w:top w:val="nil"/>
          <w:left w:val="nil"/>
          <w:bottom w:val="nil"/>
          <w:right w:val="nil"/>
          <w:between w:val="nil"/>
        </w:pBdr>
        <w:tabs>
          <w:tab w:val="left" w:pos="717"/>
        </w:tabs>
        <w:spacing w:before="245"/>
        <w:jc w:val="both"/>
        <w:rPr>
          <w:rFonts w:ascii="Arial" w:eastAsia="Arial" w:hAnsi="Arial" w:cs="Arial"/>
        </w:rPr>
      </w:pPr>
      <w:r>
        <w:rPr>
          <w:rFonts w:ascii="Arial" w:eastAsia="Arial" w:hAnsi="Arial" w:cs="Arial"/>
        </w:rPr>
        <w:t>Los honorarios de los árbitros.</w:t>
      </w:r>
    </w:p>
    <w:p w14:paraId="2FB98056" w14:textId="77777777" w:rsidR="00CD23AE" w:rsidRDefault="00127FFC">
      <w:pPr>
        <w:numPr>
          <w:ilvl w:val="0"/>
          <w:numId w:val="76"/>
        </w:numPr>
        <w:pBdr>
          <w:top w:val="nil"/>
          <w:left w:val="nil"/>
          <w:bottom w:val="nil"/>
          <w:right w:val="nil"/>
          <w:between w:val="nil"/>
        </w:pBdr>
        <w:tabs>
          <w:tab w:val="left" w:pos="717"/>
        </w:tabs>
        <w:spacing w:before="245"/>
        <w:jc w:val="both"/>
        <w:rPr>
          <w:rFonts w:ascii="Arial" w:eastAsia="Arial" w:hAnsi="Arial" w:cs="Arial"/>
        </w:rPr>
      </w:pPr>
      <w:r>
        <w:rPr>
          <w:rFonts w:ascii="Arial" w:eastAsia="Arial" w:hAnsi="Arial" w:cs="Arial"/>
        </w:rPr>
        <w:t>Los honorarios de la Secretaría Arbitral, cuando corresponda.</w:t>
      </w:r>
    </w:p>
    <w:p w14:paraId="7A7D34D6" w14:textId="77777777" w:rsidR="00CD23AE" w:rsidRDefault="00127FFC">
      <w:pPr>
        <w:numPr>
          <w:ilvl w:val="0"/>
          <w:numId w:val="76"/>
        </w:numPr>
        <w:pBdr>
          <w:top w:val="nil"/>
          <w:left w:val="nil"/>
          <w:bottom w:val="nil"/>
          <w:right w:val="nil"/>
          <w:between w:val="nil"/>
        </w:pBdr>
        <w:tabs>
          <w:tab w:val="left" w:pos="717"/>
        </w:tabs>
        <w:spacing w:before="245"/>
        <w:jc w:val="both"/>
        <w:rPr>
          <w:rFonts w:ascii="Arial" w:eastAsia="Arial" w:hAnsi="Arial" w:cs="Arial"/>
        </w:rPr>
      </w:pPr>
      <w:r>
        <w:rPr>
          <w:rFonts w:ascii="Arial" w:eastAsia="Arial" w:hAnsi="Arial" w:cs="Arial"/>
        </w:rPr>
        <w:t>Los gastos de viaje y otros que con ocasión a éstos realicen los árbitros y el</w:t>
      </w:r>
      <w:r>
        <w:rPr>
          <w:rFonts w:ascii="Arial" w:eastAsia="Arial" w:hAnsi="Arial" w:cs="Arial"/>
        </w:rPr>
        <w:tab/>
        <w:t>personal del Centro, de conformidad</w:t>
      </w:r>
      <w:r>
        <w:rPr>
          <w:rFonts w:ascii="Arial" w:eastAsia="Arial" w:hAnsi="Arial" w:cs="Arial"/>
        </w:rPr>
        <w:tab/>
        <w:t>con</w:t>
      </w:r>
      <w:r>
        <w:rPr>
          <w:rFonts w:ascii="Arial" w:eastAsia="Arial" w:hAnsi="Arial" w:cs="Arial"/>
        </w:rPr>
        <w:tab/>
        <w:t>las disposiciones de este Reglamento.</w:t>
      </w:r>
    </w:p>
    <w:p w14:paraId="3060EE87" w14:textId="77777777" w:rsidR="00CD23AE" w:rsidRDefault="00127FFC">
      <w:pPr>
        <w:numPr>
          <w:ilvl w:val="0"/>
          <w:numId w:val="76"/>
        </w:numPr>
        <w:pBdr>
          <w:top w:val="nil"/>
          <w:left w:val="nil"/>
          <w:bottom w:val="nil"/>
          <w:right w:val="nil"/>
          <w:between w:val="nil"/>
        </w:pBdr>
        <w:tabs>
          <w:tab w:val="left" w:pos="717"/>
        </w:tabs>
        <w:spacing w:before="245"/>
        <w:jc w:val="both"/>
        <w:rPr>
          <w:rFonts w:ascii="Arial" w:eastAsia="Arial" w:hAnsi="Arial" w:cs="Arial"/>
        </w:rPr>
      </w:pPr>
      <w:r>
        <w:rPr>
          <w:rFonts w:ascii="Arial" w:eastAsia="Arial" w:hAnsi="Arial" w:cs="Arial"/>
        </w:rPr>
        <w:t>Los honorarios y gastos de los peritos o de cualquier otra asistencia requerida por los árbitros, conforme a este Reglamento.</w:t>
      </w:r>
    </w:p>
    <w:p w14:paraId="11AB8364" w14:textId="77777777" w:rsidR="00CD23AE" w:rsidRDefault="00127FFC">
      <w:pPr>
        <w:numPr>
          <w:ilvl w:val="0"/>
          <w:numId w:val="76"/>
        </w:numPr>
        <w:pBdr>
          <w:top w:val="nil"/>
          <w:left w:val="nil"/>
          <w:bottom w:val="nil"/>
          <w:right w:val="nil"/>
          <w:between w:val="nil"/>
        </w:pBdr>
        <w:tabs>
          <w:tab w:val="left" w:pos="717"/>
        </w:tabs>
        <w:spacing w:before="245"/>
        <w:jc w:val="both"/>
        <w:rPr>
          <w:rFonts w:ascii="Arial" w:eastAsia="Arial" w:hAnsi="Arial" w:cs="Arial"/>
        </w:rPr>
      </w:pPr>
      <w:r>
        <w:rPr>
          <w:rFonts w:ascii="Arial" w:eastAsia="Arial" w:hAnsi="Arial" w:cs="Arial"/>
        </w:rPr>
        <w:t>Los honorarios razonables de las defensas de las partes.</w:t>
      </w:r>
    </w:p>
    <w:p w14:paraId="7BDC5EB4" w14:textId="77777777" w:rsidR="00CD23AE" w:rsidRDefault="00127FFC">
      <w:pPr>
        <w:numPr>
          <w:ilvl w:val="0"/>
          <w:numId w:val="76"/>
        </w:numPr>
        <w:pBdr>
          <w:top w:val="nil"/>
          <w:left w:val="nil"/>
          <w:bottom w:val="nil"/>
          <w:right w:val="nil"/>
          <w:between w:val="nil"/>
        </w:pBdr>
        <w:tabs>
          <w:tab w:val="left" w:pos="717"/>
        </w:tabs>
        <w:spacing w:before="245"/>
        <w:jc w:val="both"/>
        <w:rPr>
          <w:rFonts w:ascii="Arial" w:eastAsia="Arial" w:hAnsi="Arial" w:cs="Arial"/>
        </w:rPr>
      </w:pPr>
      <w:r>
        <w:rPr>
          <w:rFonts w:ascii="Arial" w:eastAsia="Arial" w:hAnsi="Arial" w:cs="Arial"/>
        </w:rPr>
        <w:t>Otros gastos razonables derivados de las actuaciones arbitrales.</w:t>
      </w:r>
    </w:p>
    <w:p w14:paraId="502A1541" w14:textId="77777777" w:rsidR="00CD23AE" w:rsidRDefault="00127FFC">
      <w:pPr>
        <w:numPr>
          <w:ilvl w:val="0"/>
          <w:numId w:val="63"/>
        </w:numPr>
        <w:pBdr>
          <w:top w:val="nil"/>
          <w:left w:val="nil"/>
          <w:bottom w:val="nil"/>
          <w:right w:val="nil"/>
          <w:between w:val="nil"/>
        </w:pBdr>
        <w:tabs>
          <w:tab w:val="left" w:pos="961"/>
        </w:tabs>
        <w:spacing w:before="237" w:line="273" w:lineRule="auto"/>
        <w:ind w:left="482" w:right="197" w:firstLine="0"/>
        <w:jc w:val="both"/>
        <w:rPr>
          <w:rFonts w:ascii="Arial" w:eastAsia="Arial" w:hAnsi="Arial" w:cs="Arial"/>
        </w:rPr>
      </w:pPr>
      <w:r>
        <w:rPr>
          <w:rFonts w:ascii="Arial" w:eastAsia="Arial" w:hAnsi="Arial" w:cs="Arial"/>
        </w:rPr>
        <w:t>La determinación y demás cuestiones referidas a los gastos administrativos del Centro, los honorarios de los árbitros y los honorarios de la Secretaría Arbitral son de potestad exclusiva del Centro. Las partes y el tribunal arbitral no pueden pactar sobre estos conceptos y de hacerlo se considerará como no puesto.</w:t>
      </w:r>
    </w:p>
    <w:p w14:paraId="797E2DCF" w14:textId="77777777" w:rsidR="00CD23AE" w:rsidRDefault="00127FFC">
      <w:pPr>
        <w:numPr>
          <w:ilvl w:val="0"/>
          <w:numId w:val="63"/>
        </w:numPr>
        <w:pBdr>
          <w:top w:val="nil"/>
          <w:left w:val="nil"/>
          <w:bottom w:val="nil"/>
          <w:right w:val="nil"/>
          <w:between w:val="nil"/>
        </w:pBdr>
        <w:tabs>
          <w:tab w:val="left" w:pos="957"/>
        </w:tabs>
        <w:spacing w:before="188" w:line="273" w:lineRule="auto"/>
        <w:ind w:left="482" w:right="198" w:firstLine="0"/>
        <w:jc w:val="both"/>
        <w:rPr>
          <w:rFonts w:ascii="Arial" w:eastAsia="Arial" w:hAnsi="Arial" w:cs="Arial"/>
        </w:rPr>
      </w:pPr>
      <w:r>
        <w:rPr>
          <w:rFonts w:ascii="Arial" w:eastAsia="Arial" w:hAnsi="Arial" w:cs="Arial"/>
        </w:rPr>
        <w:t>Los procedimientos de cobranza y facturación de los gastos administrativos del Centro, honorarios de los árbitros y honorarios de la Secretaría Arbitral no se consideran actos arbitrales. Ambos son tramitados directa y exclusivamente por el Centro, debiendo informarse a los árbitros el cumplimiento o no de las obligaciones económicas de las partes para que se proceda conforme corresponda.</w:t>
      </w:r>
    </w:p>
    <w:p w14:paraId="78B05E2C" w14:textId="77777777" w:rsidR="00CD23AE" w:rsidRDefault="00127FFC" w:rsidP="005E41D0">
      <w:pPr>
        <w:pStyle w:val="Ttulo6"/>
        <w:spacing w:before="255" w:line="268" w:lineRule="auto"/>
        <w:ind w:right="197"/>
        <w:jc w:val="both"/>
        <w:rPr>
          <w:rFonts w:ascii="Arial" w:eastAsia="Arial" w:hAnsi="Arial" w:cs="Arial"/>
          <w:sz w:val="24"/>
          <w:szCs w:val="24"/>
        </w:rPr>
      </w:pPr>
      <w:r>
        <w:rPr>
          <w:rFonts w:ascii="Arial" w:eastAsia="Arial" w:hAnsi="Arial" w:cs="Arial"/>
          <w:color w:val="916F41"/>
          <w:sz w:val="24"/>
          <w:szCs w:val="24"/>
        </w:rPr>
        <w:t xml:space="preserve">ARTÍCULO 77°. - </w:t>
      </w:r>
      <w:r>
        <w:rPr>
          <w:rFonts w:ascii="Arial" w:eastAsia="Arial" w:hAnsi="Arial" w:cs="Arial"/>
          <w:sz w:val="24"/>
          <w:szCs w:val="24"/>
        </w:rPr>
        <w:t>TASA POR PRESENTACIÓN DE SOLICITUD DE ARBITRAJE</w:t>
      </w:r>
    </w:p>
    <w:p w14:paraId="2119C77B" w14:textId="77777777" w:rsidR="00CD23AE" w:rsidRDefault="00127FFC">
      <w:pPr>
        <w:pBdr>
          <w:top w:val="nil"/>
          <w:left w:val="nil"/>
          <w:bottom w:val="nil"/>
          <w:right w:val="nil"/>
          <w:between w:val="nil"/>
        </w:pBdr>
        <w:spacing w:before="158" w:line="273" w:lineRule="auto"/>
        <w:ind w:left="482" w:right="197"/>
        <w:jc w:val="both"/>
        <w:rPr>
          <w:rFonts w:ascii="Arial" w:eastAsia="Arial" w:hAnsi="Arial" w:cs="Arial"/>
        </w:rPr>
      </w:pPr>
      <w:r>
        <w:rPr>
          <w:rFonts w:ascii="Arial" w:eastAsia="Arial" w:hAnsi="Arial" w:cs="Arial"/>
        </w:rPr>
        <w:t>Los procedimientos de cobranza y facturación de los gastos administrativos del Centro, honorarios de los árbitros y honorarios de la Secretaría Arbitral no se consideran actos arbitrales. Ambos son tramitados directa y exclusivamente por el Centro, debiendo informarse a los árbitros el cumplimiento o no de las obligaciones económicas de las partes para que se proceda conforme corresponda.</w:t>
      </w:r>
    </w:p>
    <w:p w14:paraId="75067925" w14:textId="77777777" w:rsidR="00CD23AE" w:rsidRDefault="00CD23AE">
      <w:pPr>
        <w:pBdr>
          <w:top w:val="nil"/>
          <w:left w:val="nil"/>
          <w:bottom w:val="nil"/>
          <w:right w:val="nil"/>
          <w:between w:val="nil"/>
        </w:pBdr>
        <w:spacing w:before="32"/>
        <w:jc w:val="both"/>
        <w:rPr>
          <w:rFonts w:ascii="Arial" w:eastAsia="Arial" w:hAnsi="Arial" w:cs="Arial"/>
        </w:rPr>
      </w:pPr>
    </w:p>
    <w:p w14:paraId="14627AE1" w14:textId="77777777" w:rsidR="00CD23AE" w:rsidRDefault="00127FFC" w:rsidP="005E41D0">
      <w:pPr>
        <w:pStyle w:val="Ttulo6"/>
        <w:spacing w:before="1"/>
        <w:jc w:val="both"/>
        <w:rPr>
          <w:rFonts w:ascii="Arial" w:eastAsia="Arial" w:hAnsi="Arial" w:cs="Arial"/>
          <w:sz w:val="24"/>
          <w:szCs w:val="24"/>
        </w:rPr>
      </w:pPr>
      <w:r>
        <w:rPr>
          <w:rFonts w:ascii="Arial" w:eastAsia="Arial" w:hAnsi="Arial" w:cs="Arial"/>
          <w:color w:val="916F41"/>
          <w:sz w:val="24"/>
          <w:szCs w:val="24"/>
        </w:rPr>
        <w:t xml:space="preserve">ARTÍCULO 78°. - </w:t>
      </w:r>
      <w:r>
        <w:rPr>
          <w:rFonts w:ascii="Arial" w:eastAsia="Arial" w:hAnsi="Arial" w:cs="Arial"/>
          <w:sz w:val="24"/>
          <w:szCs w:val="24"/>
        </w:rPr>
        <w:t>TASA ADMINISTRATIVA DEL CENTRO</w:t>
      </w:r>
    </w:p>
    <w:p w14:paraId="2110B5B9" w14:textId="77777777" w:rsidR="00CD23AE" w:rsidRDefault="00127FFC">
      <w:pPr>
        <w:pBdr>
          <w:top w:val="nil"/>
          <w:left w:val="nil"/>
          <w:bottom w:val="nil"/>
          <w:right w:val="nil"/>
          <w:between w:val="nil"/>
        </w:pBdr>
        <w:spacing w:before="189" w:line="273" w:lineRule="auto"/>
        <w:ind w:left="482" w:right="197"/>
        <w:jc w:val="both"/>
        <w:rPr>
          <w:rFonts w:ascii="Arial" w:eastAsia="Arial" w:hAnsi="Arial" w:cs="Arial"/>
        </w:rPr>
      </w:pPr>
      <w:r>
        <w:rPr>
          <w:rFonts w:ascii="Arial" w:eastAsia="Arial" w:hAnsi="Arial" w:cs="Arial"/>
        </w:rPr>
        <w:t>La tasa administrativa del Centro debe ser pagada por ambas partes, salvo pacto en contrario. El monto a pagar se define de acuerdo al tarifario de arbitraje vigente al momento que se presentó la solicitud de arbitraje.</w:t>
      </w:r>
    </w:p>
    <w:p w14:paraId="19184596" w14:textId="77777777" w:rsidR="00CD23AE" w:rsidRDefault="00CD23AE">
      <w:pPr>
        <w:pStyle w:val="Ttulo6"/>
        <w:spacing w:line="268" w:lineRule="auto"/>
        <w:ind w:right="197" w:firstLine="482"/>
        <w:jc w:val="both"/>
        <w:rPr>
          <w:rFonts w:ascii="Arial" w:eastAsia="Arial" w:hAnsi="Arial" w:cs="Arial"/>
          <w:sz w:val="22"/>
          <w:szCs w:val="22"/>
        </w:rPr>
      </w:pPr>
    </w:p>
    <w:p w14:paraId="53325AFE" w14:textId="77777777" w:rsidR="00CD23AE" w:rsidRDefault="00CD23AE">
      <w:pPr>
        <w:pStyle w:val="Ttulo6"/>
        <w:spacing w:line="268" w:lineRule="auto"/>
        <w:ind w:right="197" w:firstLine="482"/>
        <w:jc w:val="both"/>
        <w:rPr>
          <w:rFonts w:ascii="Arial" w:eastAsia="Arial" w:hAnsi="Arial" w:cs="Arial"/>
          <w:color w:val="062D60"/>
          <w:sz w:val="22"/>
          <w:szCs w:val="22"/>
        </w:rPr>
      </w:pPr>
    </w:p>
    <w:p w14:paraId="4DD99166" w14:textId="77777777" w:rsidR="00CD23AE" w:rsidRDefault="00CD23AE">
      <w:pPr>
        <w:pStyle w:val="Ttulo6"/>
        <w:spacing w:line="268" w:lineRule="auto"/>
        <w:ind w:right="197" w:firstLine="482"/>
        <w:jc w:val="both"/>
        <w:rPr>
          <w:rFonts w:ascii="Arial" w:eastAsia="Arial" w:hAnsi="Arial" w:cs="Arial"/>
          <w:color w:val="062D60"/>
          <w:sz w:val="22"/>
          <w:szCs w:val="22"/>
        </w:rPr>
      </w:pPr>
    </w:p>
    <w:p w14:paraId="2EABC8B4" w14:textId="77777777" w:rsidR="00CD23AE" w:rsidRDefault="00CD23AE">
      <w:pPr>
        <w:pStyle w:val="Ttulo6"/>
        <w:spacing w:line="268" w:lineRule="auto"/>
        <w:ind w:right="197" w:firstLine="482"/>
        <w:jc w:val="both"/>
        <w:rPr>
          <w:rFonts w:ascii="Arial" w:eastAsia="Arial" w:hAnsi="Arial" w:cs="Arial"/>
          <w:color w:val="062D60"/>
          <w:sz w:val="22"/>
          <w:szCs w:val="22"/>
        </w:rPr>
      </w:pPr>
    </w:p>
    <w:p w14:paraId="0F3F6248" w14:textId="77777777" w:rsidR="00CD23AE" w:rsidRDefault="00127FFC" w:rsidP="005E41D0">
      <w:pPr>
        <w:pStyle w:val="Ttulo6"/>
        <w:spacing w:line="268" w:lineRule="auto"/>
        <w:ind w:right="197"/>
        <w:jc w:val="both"/>
        <w:rPr>
          <w:rFonts w:ascii="Arial" w:eastAsia="Arial" w:hAnsi="Arial" w:cs="Arial"/>
          <w:sz w:val="24"/>
          <w:szCs w:val="24"/>
        </w:rPr>
      </w:pPr>
      <w:r>
        <w:rPr>
          <w:rFonts w:ascii="Arial" w:eastAsia="Arial" w:hAnsi="Arial" w:cs="Arial"/>
          <w:color w:val="916F41"/>
          <w:sz w:val="24"/>
          <w:szCs w:val="24"/>
        </w:rPr>
        <w:t>ARTÍCULO 79°. -</w:t>
      </w:r>
      <w:r>
        <w:rPr>
          <w:rFonts w:ascii="Arial" w:eastAsia="Arial" w:hAnsi="Arial" w:cs="Arial"/>
          <w:sz w:val="24"/>
          <w:szCs w:val="24"/>
        </w:rPr>
        <w:t xml:space="preserve"> HONORARIOS DE LOS ÁRBITROS Y DE LA SECRETARÍA ARBITRAL</w:t>
      </w:r>
    </w:p>
    <w:p w14:paraId="0DAA232D" w14:textId="77777777" w:rsidR="00CD23AE" w:rsidRDefault="00127FFC">
      <w:pPr>
        <w:pBdr>
          <w:top w:val="nil"/>
          <w:left w:val="nil"/>
          <w:bottom w:val="nil"/>
          <w:right w:val="nil"/>
          <w:between w:val="nil"/>
        </w:pBdr>
        <w:spacing w:before="154" w:line="273" w:lineRule="auto"/>
        <w:ind w:left="482" w:right="197"/>
        <w:jc w:val="both"/>
        <w:rPr>
          <w:rFonts w:ascii="Arial" w:eastAsia="Arial" w:hAnsi="Arial" w:cs="Arial"/>
        </w:rPr>
      </w:pPr>
      <w:r>
        <w:rPr>
          <w:rFonts w:ascii="Arial" w:eastAsia="Arial" w:hAnsi="Arial" w:cs="Arial"/>
        </w:rPr>
        <w:t>Los honorarios de los árbitros y los de la Secretaría Arbitral (cuando corresponda) deben ser pagados de acuerdo con el tarifario de arbitraje vigente al momento que se presentó la solicitud de arbitraje.</w:t>
      </w:r>
    </w:p>
    <w:p w14:paraId="53141F9B" w14:textId="77777777" w:rsidR="00CD23AE" w:rsidRDefault="00CD23AE">
      <w:pPr>
        <w:pBdr>
          <w:top w:val="nil"/>
          <w:left w:val="nil"/>
          <w:bottom w:val="nil"/>
          <w:right w:val="nil"/>
          <w:between w:val="nil"/>
        </w:pBdr>
        <w:spacing w:before="17"/>
        <w:jc w:val="both"/>
        <w:rPr>
          <w:rFonts w:ascii="Arial" w:eastAsia="Arial" w:hAnsi="Arial" w:cs="Arial"/>
        </w:rPr>
      </w:pPr>
    </w:p>
    <w:p w14:paraId="460D683B" w14:textId="77777777" w:rsidR="00CD23AE" w:rsidRDefault="00127FFC" w:rsidP="005E41D0">
      <w:pPr>
        <w:pStyle w:val="Ttulo6"/>
        <w:jc w:val="both"/>
        <w:rPr>
          <w:rFonts w:ascii="Arial" w:eastAsia="Arial" w:hAnsi="Arial" w:cs="Arial"/>
          <w:sz w:val="24"/>
          <w:szCs w:val="24"/>
        </w:rPr>
      </w:pPr>
      <w:r>
        <w:rPr>
          <w:rFonts w:ascii="Arial" w:eastAsia="Arial" w:hAnsi="Arial" w:cs="Arial"/>
          <w:color w:val="916F41"/>
          <w:sz w:val="24"/>
          <w:szCs w:val="24"/>
        </w:rPr>
        <w:t xml:space="preserve">ARTÍCULO 80°. - </w:t>
      </w:r>
      <w:r>
        <w:rPr>
          <w:rFonts w:ascii="Arial" w:eastAsia="Arial" w:hAnsi="Arial" w:cs="Arial"/>
          <w:sz w:val="24"/>
          <w:szCs w:val="24"/>
        </w:rPr>
        <w:t>GASTOS ADICIONALES</w:t>
      </w:r>
    </w:p>
    <w:p w14:paraId="0B6480FE" w14:textId="77777777" w:rsidR="00CD23AE" w:rsidRDefault="00127FFC">
      <w:pPr>
        <w:numPr>
          <w:ilvl w:val="0"/>
          <w:numId w:val="51"/>
        </w:numPr>
        <w:pBdr>
          <w:top w:val="nil"/>
          <w:left w:val="nil"/>
          <w:bottom w:val="nil"/>
          <w:right w:val="nil"/>
          <w:between w:val="nil"/>
        </w:pBdr>
        <w:tabs>
          <w:tab w:val="left" w:pos="742"/>
        </w:tabs>
        <w:spacing w:before="190" w:line="273" w:lineRule="auto"/>
        <w:ind w:left="482" w:right="197" w:firstLine="0"/>
        <w:jc w:val="both"/>
        <w:rPr>
          <w:rFonts w:ascii="Arial" w:eastAsia="Arial" w:hAnsi="Arial" w:cs="Arial"/>
        </w:rPr>
      </w:pPr>
      <w:r>
        <w:rPr>
          <w:rFonts w:ascii="Arial" w:eastAsia="Arial" w:hAnsi="Arial" w:cs="Arial"/>
        </w:rPr>
        <w:t>Los gastos administrativos del Centro no incluyen gastos adicionales en que pudieran incurrir los árbitros, peritos, terceros o el personal del Centro para llevar a cabo actuaciones fuera de la sede del arbitraje. Estos gastos están a cargo de las partes, según corresponda.</w:t>
      </w:r>
    </w:p>
    <w:p w14:paraId="29B556C8" w14:textId="77777777" w:rsidR="00CD23AE" w:rsidRDefault="00127FFC">
      <w:pPr>
        <w:numPr>
          <w:ilvl w:val="0"/>
          <w:numId w:val="51"/>
        </w:numPr>
        <w:pBdr>
          <w:top w:val="nil"/>
          <w:left w:val="nil"/>
          <w:bottom w:val="nil"/>
          <w:right w:val="nil"/>
          <w:between w:val="nil"/>
        </w:pBdr>
        <w:tabs>
          <w:tab w:val="left" w:pos="797"/>
        </w:tabs>
        <w:spacing w:before="160" w:line="273" w:lineRule="auto"/>
        <w:ind w:left="482" w:right="197" w:firstLine="0"/>
        <w:jc w:val="both"/>
        <w:rPr>
          <w:rFonts w:ascii="Arial" w:eastAsia="Arial" w:hAnsi="Arial" w:cs="Arial"/>
        </w:rPr>
      </w:pPr>
      <w:r>
        <w:rPr>
          <w:rFonts w:ascii="Arial" w:eastAsia="Arial" w:hAnsi="Arial" w:cs="Arial"/>
        </w:rPr>
        <w:t>Tampoco se encuentran incluidos dentro de los gastos administrativos del Centro la tramitación de actuaciones posteriores a la notificación del laudo y sus eventuales solicitudes de rectificación, interpretación, integración y exclusión, incluso si éste fuera anulado.</w:t>
      </w:r>
    </w:p>
    <w:p w14:paraId="2CCF0D93" w14:textId="77777777" w:rsidR="00CD23AE" w:rsidRDefault="00CD23AE">
      <w:pPr>
        <w:pBdr>
          <w:top w:val="nil"/>
          <w:left w:val="nil"/>
          <w:bottom w:val="nil"/>
          <w:right w:val="nil"/>
          <w:between w:val="nil"/>
        </w:pBdr>
        <w:spacing w:before="31"/>
        <w:jc w:val="both"/>
        <w:rPr>
          <w:rFonts w:ascii="Arial" w:eastAsia="Arial" w:hAnsi="Arial" w:cs="Arial"/>
        </w:rPr>
      </w:pPr>
    </w:p>
    <w:p w14:paraId="1E488EDB" w14:textId="77777777" w:rsidR="00CD23AE" w:rsidRDefault="00127FFC" w:rsidP="005E41D0">
      <w:pPr>
        <w:pStyle w:val="Ttulo6"/>
        <w:spacing w:line="268" w:lineRule="auto"/>
        <w:jc w:val="both"/>
        <w:rPr>
          <w:rFonts w:ascii="Arial" w:eastAsia="Arial" w:hAnsi="Arial" w:cs="Arial"/>
          <w:sz w:val="24"/>
          <w:szCs w:val="24"/>
        </w:rPr>
      </w:pPr>
      <w:r>
        <w:rPr>
          <w:rFonts w:ascii="Arial" w:eastAsia="Arial" w:hAnsi="Arial" w:cs="Arial"/>
          <w:color w:val="916F41"/>
          <w:sz w:val="24"/>
          <w:szCs w:val="24"/>
        </w:rPr>
        <w:t>ARTÍCULO 81°. -</w:t>
      </w:r>
      <w:r>
        <w:rPr>
          <w:rFonts w:ascii="Arial" w:eastAsia="Arial" w:hAnsi="Arial" w:cs="Arial"/>
          <w:sz w:val="24"/>
          <w:szCs w:val="24"/>
        </w:rPr>
        <w:t xml:space="preserve"> AJUSTE DE LA TASA ADMINISTRATIVA DEL CENTRO, HONORARIOS DE LOS ÁRBITROS Y DE LA SECRETARÍA ARBITRAL</w:t>
      </w:r>
    </w:p>
    <w:p w14:paraId="609D21DA" w14:textId="77777777" w:rsidR="00CD23AE" w:rsidRDefault="00127FFC">
      <w:pPr>
        <w:numPr>
          <w:ilvl w:val="0"/>
          <w:numId w:val="39"/>
        </w:numPr>
        <w:pBdr>
          <w:top w:val="nil"/>
          <w:left w:val="nil"/>
          <w:bottom w:val="nil"/>
          <w:right w:val="nil"/>
          <w:between w:val="nil"/>
        </w:pBdr>
        <w:tabs>
          <w:tab w:val="left" w:pos="813"/>
        </w:tabs>
        <w:spacing w:before="154" w:line="273" w:lineRule="auto"/>
        <w:ind w:left="482" w:right="197" w:firstLine="0"/>
        <w:jc w:val="both"/>
        <w:rPr>
          <w:rFonts w:ascii="Arial" w:eastAsia="Arial" w:hAnsi="Arial" w:cs="Arial"/>
        </w:rPr>
      </w:pPr>
      <w:r>
        <w:rPr>
          <w:rFonts w:ascii="Arial" w:eastAsia="Arial" w:hAnsi="Arial" w:cs="Arial"/>
        </w:rPr>
        <w:t>Si posterior a la liquidación de la tasa administrativa del Centro y honorarios de los árbitros se incrementa la cuantía de las pretensiones del arbitraje o se adicionan pretensiones, se efectuará un ajuste correspondiente al monto final de dichos conceptos mediante comunicación de Secretaría General, previo aviso a las partes y a los árbitros.</w:t>
      </w:r>
    </w:p>
    <w:p w14:paraId="07288E2D" w14:textId="77777777" w:rsidR="00CD23AE" w:rsidRDefault="00127FFC">
      <w:pPr>
        <w:numPr>
          <w:ilvl w:val="0"/>
          <w:numId w:val="39"/>
        </w:numPr>
        <w:pBdr>
          <w:top w:val="nil"/>
          <w:left w:val="nil"/>
          <w:bottom w:val="nil"/>
          <w:right w:val="nil"/>
          <w:between w:val="nil"/>
        </w:pBdr>
        <w:tabs>
          <w:tab w:val="left" w:pos="798"/>
        </w:tabs>
        <w:spacing w:before="37" w:line="273" w:lineRule="auto"/>
        <w:ind w:left="482" w:right="197" w:firstLine="0"/>
        <w:jc w:val="both"/>
        <w:rPr>
          <w:rFonts w:ascii="Arial" w:eastAsia="Arial" w:hAnsi="Arial" w:cs="Arial"/>
        </w:rPr>
      </w:pPr>
      <w:r>
        <w:rPr>
          <w:rFonts w:ascii="Arial" w:eastAsia="Arial" w:hAnsi="Arial" w:cs="Arial"/>
        </w:rPr>
        <w:t>Para el cálculo del ajuste se sumarán todas las pretensiones definitivas del proceso. Respecto al monto total de la tasa administrativa del Centro y honorarios profesionales de los árbitros y la Secretaría Arbitral, se le restarán los montos que hubiesen sido pagados previamente, no incluyéndose a la tasa por presentación de solicitud.</w:t>
      </w:r>
    </w:p>
    <w:p w14:paraId="39E30FFE" w14:textId="77777777" w:rsidR="00CD23AE" w:rsidRDefault="00CD23AE">
      <w:pPr>
        <w:pBdr>
          <w:top w:val="nil"/>
          <w:left w:val="nil"/>
          <w:bottom w:val="nil"/>
          <w:right w:val="nil"/>
          <w:between w:val="nil"/>
        </w:pBdr>
        <w:tabs>
          <w:tab w:val="left" w:pos="798"/>
        </w:tabs>
        <w:spacing w:before="37" w:line="273" w:lineRule="auto"/>
        <w:ind w:left="482" w:right="197"/>
        <w:jc w:val="both"/>
        <w:rPr>
          <w:rFonts w:ascii="Arial" w:eastAsia="Arial" w:hAnsi="Arial" w:cs="Arial"/>
        </w:rPr>
      </w:pPr>
    </w:p>
    <w:p w14:paraId="56E94D3A" w14:textId="77777777" w:rsidR="00CD23AE" w:rsidRDefault="00127FFC" w:rsidP="005E41D0">
      <w:pPr>
        <w:pStyle w:val="Ttulo6"/>
        <w:spacing w:line="268" w:lineRule="auto"/>
        <w:ind w:right="197"/>
        <w:jc w:val="both"/>
        <w:rPr>
          <w:rFonts w:ascii="Arial" w:eastAsia="Arial" w:hAnsi="Arial" w:cs="Arial"/>
          <w:sz w:val="24"/>
          <w:szCs w:val="24"/>
        </w:rPr>
      </w:pPr>
      <w:r>
        <w:rPr>
          <w:rFonts w:ascii="Arial" w:eastAsia="Arial" w:hAnsi="Arial" w:cs="Arial"/>
          <w:color w:val="916F41"/>
          <w:sz w:val="24"/>
          <w:szCs w:val="24"/>
        </w:rPr>
        <w:t>ARTÍCULO 82°. -</w:t>
      </w:r>
      <w:r>
        <w:rPr>
          <w:rFonts w:ascii="Arial" w:eastAsia="Arial" w:hAnsi="Arial" w:cs="Arial"/>
          <w:sz w:val="24"/>
          <w:szCs w:val="24"/>
        </w:rPr>
        <w:t xml:space="preserve"> IMPUGNACIONES A LOS GASTOS ADMINISTRATIVOS, HONORARIOS DE ÁRBITROS Y DE SECRETARÍA ARBITRAL</w:t>
      </w:r>
    </w:p>
    <w:p w14:paraId="4F448EA0" w14:textId="77777777" w:rsidR="00CD23AE" w:rsidRDefault="00127FFC">
      <w:pPr>
        <w:pBdr>
          <w:top w:val="nil"/>
          <w:left w:val="nil"/>
          <w:bottom w:val="nil"/>
          <w:right w:val="nil"/>
          <w:between w:val="nil"/>
        </w:pBdr>
        <w:spacing w:before="183" w:line="273" w:lineRule="auto"/>
        <w:ind w:left="482" w:right="197"/>
        <w:jc w:val="both"/>
        <w:rPr>
          <w:rFonts w:ascii="Arial" w:eastAsia="Arial" w:hAnsi="Arial" w:cs="Arial"/>
        </w:rPr>
      </w:pPr>
      <w:r>
        <w:rPr>
          <w:rFonts w:ascii="Arial" w:eastAsia="Arial" w:hAnsi="Arial" w:cs="Arial"/>
        </w:rPr>
        <w:t>Las decisiones referidas a los gastos administrativos, honorarios de los árbitros y honorarios de Secretaría Arbitral son definitivas e inimpugnables. Sin perjuicio de ello, la Secretaría General podrá modificar de oficio tales decisiones. Las impugnaciones serán desestimadas de plano por la Secretaría General.</w:t>
      </w:r>
    </w:p>
    <w:p w14:paraId="142060D3" w14:textId="77777777" w:rsidR="00CD23AE" w:rsidRDefault="00CD23AE">
      <w:pPr>
        <w:rPr>
          <w:rFonts w:ascii="Arial" w:eastAsia="Arial" w:hAnsi="Arial" w:cs="Arial"/>
        </w:rPr>
      </w:pPr>
    </w:p>
    <w:p w14:paraId="392F4A2E" w14:textId="77777777" w:rsidR="00CD23AE" w:rsidRDefault="00127FFC" w:rsidP="005E41D0">
      <w:pPr>
        <w:pStyle w:val="Ttulo6"/>
        <w:spacing w:before="1"/>
        <w:jc w:val="both"/>
        <w:rPr>
          <w:rFonts w:ascii="Arial" w:eastAsia="Arial" w:hAnsi="Arial" w:cs="Arial"/>
          <w:sz w:val="24"/>
          <w:szCs w:val="24"/>
        </w:rPr>
      </w:pPr>
      <w:r>
        <w:rPr>
          <w:rFonts w:ascii="Arial" w:eastAsia="Arial" w:hAnsi="Arial" w:cs="Arial"/>
          <w:color w:val="916F41"/>
          <w:sz w:val="24"/>
          <w:szCs w:val="24"/>
        </w:rPr>
        <w:t xml:space="preserve">ARTÍCULO 83°. - </w:t>
      </w:r>
      <w:r>
        <w:rPr>
          <w:rFonts w:ascii="Arial" w:eastAsia="Arial" w:hAnsi="Arial" w:cs="Arial"/>
          <w:sz w:val="24"/>
          <w:szCs w:val="24"/>
        </w:rPr>
        <w:t>FORMA DE PAGO</w:t>
      </w:r>
    </w:p>
    <w:p w14:paraId="663DA425" w14:textId="77777777" w:rsidR="00CD23AE" w:rsidRDefault="00127FFC">
      <w:pPr>
        <w:pBdr>
          <w:top w:val="nil"/>
          <w:left w:val="nil"/>
          <w:bottom w:val="nil"/>
          <w:right w:val="nil"/>
          <w:between w:val="nil"/>
        </w:pBdr>
        <w:tabs>
          <w:tab w:val="left" w:pos="695"/>
        </w:tabs>
        <w:spacing w:before="219" w:line="273" w:lineRule="auto"/>
        <w:ind w:left="482" w:right="197"/>
        <w:jc w:val="both"/>
        <w:rPr>
          <w:rFonts w:ascii="Arial" w:eastAsia="Arial" w:hAnsi="Arial" w:cs="Arial"/>
        </w:rPr>
      </w:pPr>
      <w:r>
        <w:rPr>
          <w:rFonts w:ascii="Arial" w:eastAsia="Arial" w:hAnsi="Arial" w:cs="Arial"/>
          <w:b/>
        </w:rPr>
        <w:t>1.</w:t>
      </w:r>
      <w:r>
        <w:rPr>
          <w:rFonts w:ascii="Arial" w:eastAsia="Arial" w:hAnsi="Arial" w:cs="Arial"/>
        </w:rPr>
        <w:t xml:space="preserve"> Las partes asumirán el pago de los gastos por la gestión del arbitraje y los honorarios profesionales de los árbitros y la Secretaría Arbitral en proporciones iguales, salvo pacto en contrario.</w:t>
      </w:r>
    </w:p>
    <w:p w14:paraId="65CF0CAF" w14:textId="555E325D" w:rsidR="00CD23AE" w:rsidRDefault="00127FFC">
      <w:pPr>
        <w:pBdr>
          <w:top w:val="nil"/>
          <w:left w:val="nil"/>
          <w:bottom w:val="nil"/>
          <w:right w:val="nil"/>
          <w:between w:val="nil"/>
        </w:pBdr>
        <w:tabs>
          <w:tab w:val="left" w:pos="695"/>
        </w:tabs>
        <w:spacing w:before="219" w:line="273" w:lineRule="auto"/>
        <w:ind w:left="482" w:right="197"/>
        <w:jc w:val="both"/>
        <w:rPr>
          <w:rFonts w:ascii="Arial" w:eastAsia="Arial" w:hAnsi="Arial" w:cs="Arial"/>
        </w:rPr>
      </w:pPr>
      <w:r>
        <w:rPr>
          <w:rFonts w:ascii="Arial" w:eastAsia="Arial" w:hAnsi="Arial" w:cs="Arial"/>
          <w:b/>
        </w:rPr>
        <w:t>2.</w:t>
      </w:r>
      <w:r>
        <w:rPr>
          <w:rFonts w:ascii="Arial" w:eastAsia="Arial" w:hAnsi="Arial" w:cs="Arial"/>
        </w:rPr>
        <w:t xml:space="preserve"> Tratándose de una pluralidad de demandantes o demandados, la obligación por el pago de los gastos por la administración del arbitraje y los honorarios profesionales de los árbitros y de Secretaría Arbitral, es solidaria frente al Centro y los árbitros.</w:t>
      </w:r>
    </w:p>
    <w:p w14:paraId="53268F55" w14:textId="77777777" w:rsidR="00CD23AE" w:rsidRDefault="00127FFC">
      <w:pPr>
        <w:pBdr>
          <w:top w:val="nil"/>
          <w:left w:val="nil"/>
          <w:bottom w:val="nil"/>
          <w:right w:val="nil"/>
          <w:between w:val="nil"/>
        </w:pBdr>
        <w:tabs>
          <w:tab w:val="left" w:pos="695"/>
        </w:tabs>
        <w:spacing w:before="219" w:line="273" w:lineRule="auto"/>
        <w:ind w:left="482" w:right="197"/>
        <w:jc w:val="both"/>
        <w:rPr>
          <w:rFonts w:ascii="Arial" w:eastAsia="Arial" w:hAnsi="Arial" w:cs="Arial"/>
        </w:rPr>
      </w:pPr>
      <w:r>
        <w:rPr>
          <w:rFonts w:ascii="Arial" w:eastAsia="Arial" w:hAnsi="Arial" w:cs="Arial"/>
          <w:b/>
        </w:rPr>
        <w:t>3.</w:t>
      </w:r>
      <w:r>
        <w:rPr>
          <w:rFonts w:ascii="Arial" w:eastAsia="Arial" w:hAnsi="Arial" w:cs="Arial"/>
        </w:rPr>
        <w:t xml:space="preserve"> Excepcionalmente, para el caso de pluralidad de demandantes y/o demandados, la Secretaría General está facultada para establecer una proporción distinta de pago, atendiendo a las circunstancias del caso.</w:t>
      </w:r>
    </w:p>
    <w:p w14:paraId="09559017" w14:textId="77777777" w:rsidR="00CD23AE" w:rsidRDefault="00CD23AE">
      <w:pPr>
        <w:pBdr>
          <w:top w:val="nil"/>
          <w:left w:val="nil"/>
          <w:bottom w:val="nil"/>
          <w:right w:val="nil"/>
          <w:between w:val="nil"/>
        </w:pBdr>
        <w:tabs>
          <w:tab w:val="left" w:pos="695"/>
        </w:tabs>
        <w:spacing w:before="219" w:line="273" w:lineRule="auto"/>
        <w:ind w:right="197"/>
        <w:jc w:val="both"/>
        <w:rPr>
          <w:rFonts w:ascii="Arial" w:eastAsia="Arial" w:hAnsi="Arial" w:cs="Arial"/>
        </w:rPr>
      </w:pPr>
    </w:p>
    <w:p w14:paraId="32857E86" w14:textId="77777777" w:rsidR="00CD23AE" w:rsidRDefault="00127FFC">
      <w:pPr>
        <w:pBdr>
          <w:top w:val="nil"/>
          <w:left w:val="nil"/>
          <w:bottom w:val="nil"/>
          <w:right w:val="nil"/>
          <w:between w:val="nil"/>
        </w:pBdr>
        <w:tabs>
          <w:tab w:val="left" w:pos="695"/>
        </w:tabs>
        <w:spacing w:before="219" w:line="273" w:lineRule="auto"/>
        <w:ind w:left="482" w:right="197"/>
        <w:jc w:val="both"/>
        <w:rPr>
          <w:rFonts w:ascii="Arial" w:eastAsia="Arial" w:hAnsi="Arial" w:cs="Arial"/>
        </w:rPr>
      </w:pPr>
      <w:r>
        <w:rPr>
          <w:rFonts w:ascii="Arial" w:eastAsia="Arial" w:hAnsi="Arial" w:cs="Arial"/>
          <w:b/>
        </w:rPr>
        <w:t>4.</w:t>
      </w:r>
      <w:r>
        <w:rPr>
          <w:rFonts w:ascii="Arial" w:eastAsia="Arial" w:hAnsi="Arial" w:cs="Arial"/>
        </w:rPr>
        <w:t xml:space="preserve"> La Secretaría General, a pedido de parte o de oficio, podrá disponer que cada parte asuma independientemente los gastos administrativos del Centro, los honorarios de los árbitros y honorarios de la Secretaría Arbitral que generen sus controversias.</w:t>
      </w:r>
    </w:p>
    <w:p w14:paraId="4653AF0D" w14:textId="77777777" w:rsidR="00CD23AE" w:rsidRDefault="00CD23AE">
      <w:pPr>
        <w:pBdr>
          <w:top w:val="nil"/>
          <w:left w:val="nil"/>
          <w:bottom w:val="nil"/>
          <w:right w:val="nil"/>
          <w:between w:val="nil"/>
        </w:pBdr>
        <w:spacing w:before="31"/>
        <w:jc w:val="both"/>
        <w:rPr>
          <w:rFonts w:ascii="Arial" w:eastAsia="Arial" w:hAnsi="Arial" w:cs="Arial"/>
        </w:rPr>
      </w:pPr>
    </w:p>
    <w:p w14:paraId="136F4D6F" w14:textId="77777777" w:rsidR="00CD23AE" w:rsidRDefault="00127FFC" w:rsidP="005E41D0">
      <w:pPr>
        <w:pStyle w:val="Ttulo6"/>
        <w:spacing w:before="1" w:line="268" w:lineRule="auto"/>
        <w:jc w:val="both"/>
        <w:rPr>
          <w:rFonts w:ascii="Arial" w:eastAsia="Arial" w:hAnsi="Arial" w:cs="Arial"/>
          <w:sz w:val="24"/>
          <w:szCs w:val="24"/>
        </w:rPr>
      </w:pPr>
      <w:r>
        <w:rPr>
          <w:rFonts w:ascii="Arial" w:eastAsia="Arial" w:hAnsi="Arial" w:cs="Arial"/>
          <w:color w:val="916F41"/>
          <w:sz w:val="24"/>
          <w:szCs w:val="24"/>
        </w:rPr>
        <w:t>ARTÍCULO 84°. -</w:t>
      </w:r>
      <w:r>
        <w:rPr>
          <w:rFonts w:ascii="Arial" w:eastAsia="Arial" w:hAnsi="Arial" w:cs="Arial"/>
          <w:sz w:val="24"/>
          <w:szCs w:val="24"/>
        </w:rPr>
        <w:t xml:space="preserve"> OPORTUNIDAD DE PAGO DE LA TASA POR LA GESTIÓN DEL ARBITRAJE</w:t>
      </w:r>
    </w:p>
    <w:p w14:paraId="2FFA4848" w14:textId="77777777" w:rsidR="00CD23AE" w:rsidRDefault="00127FFC">
      <w:pPr>
        <w:numPr>
          <w:ilvl w:val="0"/>
          <w:numId w:val="16"/>
        </w:numPr>
        <w:pBdr>
          <w:top w:val="nil"/>
          <w:left w:val="nil"/>
          <w:bottom w:val="nil"/>
          <w:right w:val="nil"/>
          <w:between w:val="nil"/>
        </w:pBdr>
        <w:tabs>
          <w:tab w:val="left" w:pos="716"/>
        </w:tabs>
        <w:spacing w:before="183" w:line="273" w:lineRule="auto"/>
        <w:ind w:left="482" w:right="197" w:firstLine="0"/>
        <w:jc w:val="both"/>
        <w:rPr>
          <w:rFonts w:ascii="Arial" w:eastAsia="Arial" w:hAnsi="Arial" w:cs="Arial"/>
        </w:rPr>
      </w:pPr>
      <w:r>
        <w:rPr>
          <w:rFonts w:ascii="Arial" w:eastAsia="Arial" w:hAnsi="Arial" w:cs="Arial"/>
        </w:rPr>
        <w:t>Una vez consentida la aceptación del Árbitro Único o del Presidente del Tribunal Arbitral, la Secretaría General procederá a elaborar la liquidación provisional de los Gastos Administrativos del Centro, de los honorarios de los árbitros y, de ser el caso, de la Secretaría Arbitral. De los pagos por concepto de honorarios arbitrales se deducirá el impuesto o tributos de carácter contable que sean correspondientes.</w:t>
      </w:r>
    </w:p>
    <w:p w14:paraId="2FB3CB66" w14:textId="77777777" w:rsidR="00CD23AE" w:rsidRDefault="00127FFC">
      <w:pPr>
        <w:numPr>
          <w:ilvl w:val="0"/>
          <w:numId w:val="16"/>
        </w:numPr>
        <w:pBdr>
          <w:top w:val="nil"/>
          <w:left w:val="nil"/>
          <w:bottom w:val="nil"/>
          <w:right w:val="nil"/>
          <w:between w:val="nil"/>
        </w:pBdr>
        <w:tabs>
          <w:tab w:val="left" w:pos="857"/>
        </w:tabs>
        <w:spacing w:before="187" w:line="273" w:lineRule="auto"/>
        <w:ind w:left="482" w:right="197" w:firstLine="0"/>
        <w:jc w:val="both"/>
        <w:rPr>
          <w:rFonts w:ascii="Arial" w:eastAsia="Arial" w:hAnsi="Arial" w:cs="Arial"/>
        </w:rPr>
      </w:pPr>
      <w:r>
        <w:rPr>
          <w:rFonts w:ascii="Arial" w:eastAsia="Arial" w:hAnsi="Arial" w:cs="Arial"/>
        </w:rPr>
        <w:t>El pago de dichos conceptos deberá ser realizado por las partes procesales en un plazo de diez (10) días hábiles en la cuenta bancaria del Centro. Una vez acreditado el pago de la totalidad de los gastos arbitrales, la Secretaría General se comunicará con el o los árbitros en aras de proceder con la instalación del Tribunal Arbitral, sea por resolución o audiencia.</w:t>
      </w:r>
    </w:p>
    <w:p w14:paraId="1F8EC858" w14:textId="77777777" w:rsidR="00CD23AE" w:rsidRDefault="00127FFC">
      <w:pPr>
        <w:numPr>
          <w:ilvl w:val="0"/>
          <w:numId w:val="16"/>
        </w:numPr>
        <w:pBdr>
          <w:top w:val="nil"/>
          <w:left w:val="nil"/>
          <w:bottom w:val="nil"/>
          <w:right w:val="nil"/>
          <w:between w:val="nil"/>
        </w:pBdr>
        <w:tabs>
          <w:tab w:val="left" w:pos="801"/>
        </w:tabs>
        <w:spacing w:before="189" w:line="273" w:lineRule="auto"/>
        <w:ind w:left="482" w:right="197" w:firstLine="0"/>
        <w:jc w:val="both"/>
        <w:rPr>
          <w:rFonts w:ascii="Arial" w:eastAsia="Arial" w:hAnsi="Arial" w:cs="Arial"/>
        </w:rPr>
      </w:pPr>
      <w:r>
        <w:rPr>
          <w:rFonts w:ascii="Arial" w:eastAsia="Arial" w:hAnsi="Arial" w:cs="Arial"/>
        </w:rPr>
        <w:t>El pago de los honorarios arbitrales por el primer cincuenta por ciento (50 %) de la totalidad de estos será con la notificación de la resolución que contenga las reglas definitivas o del Acta de Audiencia de Instalación. Y el segundo cincuenta por ciento (50 %) será abonado una vez notificado el laudo final que resuelva la controversia ventilada en arbitraje.</w:t>
      </w:r>
    </w:p>
    <w:p w14:paraId="43A8ABF7" w14:textId="77777777" w:rsidR="00CD23AE" w:rsidRDefault="00127FFC">
      <w:pPr>
        <w:numPr>
          <w:ilvl w:val="0"/>
          <w:numId w:val="16"/>
        </w:numPr>
        <w:pBdr>
          <w:top w:val="nil"/>
          <w:left w:val="nil"/>
          <w:bottom w:val="nil"/>
          <w:right w:val="nil"/>
          <w:between w:val="nil"/>
        </w:pBdr>
        <w:tabs>
          <w:tab w:val="left" w:pos="836"/>
        </w:tabs>
        <w:spacing w:before="182" w:line="273" w:lineRule="auto"/>
        <w:ind w:left="482" w:right="197" w:firstLine="0"/>
        <w:jc w:val="both"/>
        <w:rPr>
          <w:rFonts w:ascii="Arial" w:eastAsia="Arial" w:hAnsi="Arial" w:cs="Arial"/>
        </w:rPr>
      </w:pPr>
      <w:r>
        <w:rPr>
          <w:rFonts w:ascii="Arial" w:eastAsia="Arial" w:hAnsi="Arial" w:cs="Arial"/>
        </w:rPr>
        <w:t>Todo pago por concepto de tasa administrativa del Centro no genera devolución alguna, aunque el proceso sea declarado concluido sin la expedición del laudo. Excepcionalmente, la Secretaría General podrá devolver parte de la tasa según los procedimientos administrativos del Centro.</w:t>
      </w:r>
    </w:p>
    <w:p w14:paraId="38D9EDF6" w14:textId="77777777" w:rsidR="00CD23AE" w:rsidRDefault="00CD23AE">
      <w:pPr>
        <w:pBdr>
          <w:top w:val="nil"/>
          <w:left w:val="nil"/>
          <w:bottom w:val="nil"/>
          <w:right w:val="nil"/>
          <w:between w:val="nil"/>
        </w:pBdr>
        <w:tabs>
          <w:tab w:val="left" w:pos="836"/>
        </w:tabs>
        <w:spacing w:line="273" w:lineRule="auto"/>
        <w:ind w:left="483" w:right="197"/>
        <w:jc w:val="both"/>
        <w:rPr>
          <w:rFonts w:ascii="Arial" w:eastAsia="Arial" w:hAnsi="Arial" w:cs="Arial"/>
          <w:b/>
        </w:rPr>
      </w:pPr>
    </w:p>
    <w:p w14:paraId="1B8AB7EF" w14:textId="77777777" w:rsidR="00CD23AE" w:rsidRDefault="00127FFC" w:rsidP="005E41D0">
      <w:pPr>
        <w:pStyle w:val="Ttulo6"/>
        <w:jc w:val="both"/>
        <w:rPr>
          <w:rFonts w:ascii="Arial" w:eastAsia="Arial" w:hAnsi="Arial" w:cs="Arial"/>
          <w:sz w:val="24"/>
          <w:szCs w:val="24"/>
        </w:rPr>
      </w:pPr>
      <w:r>
        <w:rPr>
          <w:rFonts w:ascii="Arial" w:eastAsia="Arial" w:hAnsi="Arial" w:cs="Arial"/>
          <w:color w:val="916F41"/>
          <w:sz w:val="24"/>
          <w:szCs w:val="24"/>
        </w:rPr>
        <w:t xml:space="preserve">ARTÍCULO 85°. - </w:t>
      </w:r>
      <w:r>
        <w:rPr>
          <w:rFonts w:ascii="Arial" w:eastAsia="Arial" w:hAnsi="Arial" w:cs="Arial"/>
          <w:sz w:val="24"/>
          <w:szCs w:val="24"/>
        </w:rPr>
        <w:t>FALTA DE PAGO</w:t>
      </w:r>
    </w:p>
    <w:p w14:paraId="33BEFCD4" w14:textId="77777777" w:rsidR="00CD23AE" w:rsidRDefault="00127FFC">
      <w:pPr>
        <w:pBdr>
          <w:top w:val="nil"/>
          <w:left w:val="nil"/>
          <w:bottom w:val="nil"/>
          <w:right w:val="nil"/>
          <w:between w:val="nil"/>
        </w:pBdr>
        <w:spacing w:before="220"/>
        <w:ind w:left="482"/>
        <w:jc w:val="both"/>
        <w:rPr>
          <w:rFonts w:ascii="Arial" w:eastAsia="Arial" w:hAnsi="Arial" w:cs="Arial"/>
        </w:rPr>
      </w:pPr>
      <w:r>
        <w:rPr>
          <w:rFonts w:ascii="Arial" w:eastAsia="Arial" w:hAnsi="Arial" w:cs="Arial"/>
        </w:rPr>
        <w:t>La falta de pago se rige por las siguientes reglas:</w:t>
      </w:r>
    </w:p>
    <w:p w14:paraId="40F622EA" w14:textId="77777777" w:rsidR="00CD23AE" w:rsidRDefault="00127FFC">
      <w:pPr>
        <w:numPr>
          <w:ilvl w:val="0"/>
          <w:numId w:val="4"/>
        </w:numPr>
        <w:pBdr>
          <w:top w:val="nil"/>
          <w:left w:val="nil"/>
          <w:bottom w:val="nil"/>
          <w:right w:val="nil"/>
          <w:between w:val="nil"/>
        </w:pBdr>
        <w:tabs>
          <w:tab w:val="left" w:pos="742"/>
        </w:tabs>
        <w:spacing w:before="236" w:line="273" w:lineRule="auto"/>
        <w:ind w:left="482" w:right="197" w:firstLine="0"/>
        <w:jc w:val="both"/>
        <w:rPr>
          <w:rFonts w:ascii="Arial" w:eastAsia="Arial" w:hAnsi="Arial" w:cs="Arial"/>
        </w:rPr>
      </w:pPr>
      <w:r>
        <w:rPr>
          <w:rFonts w:ascii="Arial" w:eastAsia="Arial" w:hAnsi="Arial" w:cs="Arial"/>
        </w:rPr>
        <w:t>Si vencido el plazo para el pago de la tasa administrativa del Centro y/o los honorarios profesionales una de las partes que debe efectuarlos no lo hace, la Secretaría General le concede un plazo adicional de cinco (5) días hábiles a la parte interesada en el arbitraje para que los realice (en modalidad de subrogación), bajo apercibimiento de suspensión del arbitraje. Esta disposición se aplicará también en el caso que ambas partes no hayan efectuado los pagos.</w:t>
      </w:r>
    </w:p>
    <w:p w14:paraId="3DA632F0" w14:textId="77777777" w:rsidR="00CD23AE" w:rsidRDefault="00127FFC">
      <w:pPr>
        <w:numPr>
          <w:ilvl w:val="0"/>
          <w:numId w:val="4"/>
        </w:numPr>
        <w:pBdr>
          <w:top w:val="nil"/>
          <w:left w:val="nil"/>
          <w:bottom w:val="nil"/>
          <w:right w:val="nil"/>
          <w:between w:val="nil"/>
        </w:pBdr>
        <w:tabs>
          <w:tab w:val="left" w:pos="823"/>
        </w:tabs>
        <w:spacing w:before="186" w:line="273" w:lineRule="auto"/>
        <w:ind w:left="482" w:right="197" w:firstLine="0"/>
        <w:jc w:val="both"/>
        <w:rPr>
          <w:rFonts w:ascii="Arial" w:eastAsia="Arial" w:hAnsi="Arial" w:cs="Arial"/>
        </w:rPr>
      </w:pPr>
      <w:r>
        <w:rPr>
          <w:rFonts w:ascii="Arial" w:eastAsia="Arial" w:hAnsi="Arial" w:cs="Arial"/>
        </w:rPr>
        <w:t>En el caso de la falta de pago de ambas partes, si se vence el plazo adicional y continúa el incumplimiento de ambas, se procederá de acuerdo con lo dispuesto en el inciso 4 del presente artículo.</w:t>
      </w:r>
    </w:p>
    <w:p w14:paraId="2BFD096A" w14:textId="77777777" w:rsidR="00CD23AE" w:rsidRDefault="00127FFC">
      <w:pPr>
        <w:numPr>
          <w:ilvl w:val="0"/>
          <w:numId w:val="4"/>
        </w:numPr>
        <w:pBdr>
          <w:top w:val="nil"/>
          <w:left w:val="nil"/>
          <w:bottom w:val="nil"/>
          <w:right w:val="nil"/>
          <w:between w:val="nil"/>
        </w:pBdr>
        <w:tabs>
          <w:tab w:val="left" w:pos="780"/>
        </w:tabs>
        <w:spacing w:before="191" w:line="273" w:lineRule="auto"/>
        <w:ind w:left="482" w:right="198" w:firstLine="0"/>
        <w:jc w:val="both"/>
        <w:rPr>
          <w:rFonts w:ascii="Arial" w:eastAsia="Arial" w:hAnsi="Arial" w:cs="Arial"/>
        </w:rPr>
      </w:pPr>
      <w:r>
        <w:rPr>
          <w:rFonts w:ascii="Arial" w:eastAsia="Arial" w:hAnsi="Arial" w:cs="Arial"/>
        </w:rPr>
        <w:t>Efectuado el pago por la parte contraria, los árbitros, una vez instalados, deberán pronunciarse sobre éste en el laudo que resuelve definitivamente la controversia, disponiendo, de ser el caso, el reembolso respectivo incluyendo los intereses por mora a partir de la fecha en que debió efectuarse el pago.</w:t>
      </w:r>
    </w:p>
    <w:p w14:paraId="255EF463" w14:textId="77777777" w:rsidR="00CD23AE" w:rsidRDefault="00127FFC">
      <w:pPr>
        <w:numPr>
          <w:ilvl w:val="0"/>
          <w:numId w:val="4"/>
        </w:numPr>
        <w:pBdr>
          <w:top w:val="nil"/>
          <w:left w:val="nil"/>
          <w:bottom w:val="nil"/>
          <w:right w:val="nil"/>
          <w:between w:val="nil"/>
        </w:pBdr>
        <w:tabs>
          <w:tab w:val="left" w:pos="872"/>
        </w:tabs>
        <w:spacing w:before="56" w:line="273" w:lineRule="auto"/>
        <w:ind w:left="482" w:right="197" w:firstLine="0"/>
        <w:jc w:val="both"/>
        <w:rPr>
          <w:rFonts w:ascii="Arial" w:eastAsia="Arial" w:hAnsi="Arial" w:cs="Arial"/>
        </w:rPr>
      </w:pPr>
      <w:r>
        <w:rPr>
          <w:rFonts w:ascii="Arial" w:eastAsia="Arial" w:hAnsi="Arial" w:cs="Arial"/>
        </w:rPr>
        <w:t>Si vencido el plazo de cinco (05) días hábiles concedido a la parte contraria ninguna de las partes efectúa el pago, la Secretaría General comunicará a las partes procesales la suspensión del arbitraje por el plazo de diez (10) días hábiles, bajo responsabilidad.</w:t>
      </w:r>
    </w:p>
    <w:p w14:paraId="46D23B61" w14:textId="7E8EE364" w:rsidR="00CD23AE" w:rsidRDefault="00CD23AE">
      <w:pPr>
        <w:pBdr>
          <w:top w:val="nil"/>
          <w:left w:val="nil"/>
          <w:bottom w:val="nil"/>
          <w:right w:val="nil"/>
          <w:between w:val="nil"/>
        </w:pBdr>
        <w:tabs>
          <w:tab w:val="left" w:pos="872"/>
        </w:tabs>
        <w:spacing w:before="56" w:line="273" w:lineRule="auto"/>
        <w:ind w:left="482" w:right="197"/>
        <w:jc w:val="both"/>
        <w:rPr>
          <w:rFonts w:ascii="Arial" w:eastAsia="Arial" w:hAnsi="Arial" w:cs="Arial"/>
        </w:rPr>
      </w:pPr>
    </w:p>
    <w:p w14:paraId="4AB660F3" w14:textId="77777777" w:rsidR="005E41D0" w:rsidRDefault="005E41D0">
      <w:pPr>
        <w:pBdr>
          <w:top w:val="nil"/>
          <w:left w:val="nil"/>
          <w:bottom w:val="nil"/>
          <w:right w:val="nil"/>
          <w:between w:val="nil"/>
        </w:pBdr>
        <w:tabs>
          <w:tab w:val="left" w:pos="872"/>
        </w:tabs>
        <w:spacing w:before="56" w:line="273" w:lineRule="auto"/>
        <w:ind w:left="482" w:right="197"/>
        <w:jc w:val="both"/>
        <w:rPr>
          <w:rFonts w:ascii="Arial" w:eastAsia="Arial" w:hAnsi="Arial" w:cs="Arial"/>
        </w:rPr>
      </w:pPr>
    </w:p>
    <w:p w14:paraId="0A3CC1AC" w14:textId="77777777" w:rsidR="00CD23AE" w:rsidRDefault="00127FFC">
      <w:pPr>
        <w:numPr>
          <w:ilvl w:val="0"/>
          <w:numId w:val="4"/>
        </w:numPr>
        <w:pBdr>
          <w:top w:val="nil"/>
          <w:left w:val="nil"/>
          <w:bottom w:val="nil"/>
          <w:right w:val="nil"/>
          <w:between w:val="nil"/>
        </w:pBdr>
        <w:tabs>
          <w:tab w:val="left" w:pos="816"/>
        </w:tabs>
        <w:spacing w:line="273" w:lineRule="auto"/>
        <w:ind w:left="482" w:right="197" w:firstLine="0"/>
        <w:jc w:val="both"/>
        <w:rPr>
          <w:rFonts w:ascii="Arial" w:eastAsia="Arial" w:hAnsi="Arial" w:cs="Arial"/>
        </w:rPr>
      </w:pPr>
      <w:r>
        <w:rPr>
          <w:rFonts w:ascii="Arial" w:eastAsia="Arial" w:hAnsi="Arial" w:cs="Arial"/>
        </w:rPr>
        <w:t>Transcurrido el plazo de suspensión del arbitraje por falta de pago, la Secretaría General comunicará el archivo de las actuaciones arbitrales.</w:t>
      </w:r>
    </w:p>
    <w:p w14:paraId="57DE9742" w14:textId="77777777" w:rsidR="00CD23AE" w:rsidRDefault="00127FFC">
      <w:pPr>
        <w:numPr>
          <w:ilvl w:val="0"/>
          <w:numId w:val="4"/>
        </w:numPr>
        <w:pBdr>
          <w:top w:val="nil"/>
          <w:left w:val="nil"/>
          <w:bottom w:val="nil"/>
          <w:right w:val="nil"/>
          <w:between w:val="nil"/>
        </w:pBdr>
        <w:tabs>
          <w:tab w:val="left" w:pos="863"/>
        </w:tabs>
        <w:spacing w:before="209" w:line="273" w:lineRule="auto"/>
        <w:ind w:left="482" w:right="197" w:firstLine="0"/>
        <w:jc w:val="both"/>
        <w:rPr>
          <w:rFonts w:ascii="Arial" w:eastAsia="Arial" w:hAnsi="Arial" w:cs="Arial"/>
        </w:rPr>
      </w:pPr>
      <w:r>
        <w:rPr>
          <w:rFonts w:ascii="Arial" w:eastAsia="Arial" w:hAnsi="Arial" w:cs="Arial"/>
        </w:rPr>
        <w:t>En los casos de liquidaciones separadas, la falta definitiva de pago correspondiente a las pretensiones planteadas por una parte acarreará el archivo de dichas pretensiones, sin perjuicio que el arbitraje continúe respecto de las pretensiones de la contraria.</w:t>
      </w:r>
    </w:p>
    <w:p w14:paraId="115DAC86" w14:textId="77777777" w:rsidR="00CD23AE" w:rsidRDefault="00127FFC">
      <w:pPr>
        <w:numPr>
          <w:ilvl w:val="0"/>
          <w:numId w:val="4"/>
        </w:numPr>
        <w:pBdr>
          <w:top w:val="nil"/>
          <w:left w:val="nil"/>
          <w:bottom w:val="nil"/>
          <w:right w:val="nil"/>
          <w:between w:val="nil"/>
        </w:pBdr>
        <w:tabs>
          <w:tab w:val="left" w:pos="795"/>
        </w:tabs>
        <w:spacing w:before="204" w:line="273" w:lineRule="auto"/>
        <w:ind w:left="482" w:right="197" w:firstLine="0"/>
        <w:jc w:val="both"/>
        <w:rPr>
          <w:rFonts w:ascii="Arial" w:eastAsia="Arial" w:hAnsi="Arial" w:cs="Arial"/>
        </w:rPr>
      </w:pPr>
      <w:r>
        <w:rPr>
          <w:rFonts w:ascii="Arial" w:eastAsia="Arial" w:hAnsi="Arial" w:cs="Arial"/>
        </w:rPr>
        <w:t>En caso se presente un pedido de fraccionamiento, este solo procederá excepcionalmente cuando se trate del pago en subrogación, para lo cual la Secretaría Arbitral, a criterio, podrá aprobarlo, pero dicho fraccionamiento no podrá exceder de cuatro (4) cuotas o armadas, contados a partir de la fecha en que se presentó el pedido. En este último supuesto, se dispondrá la instalación del Tribunal Arbitral y la continuación de las actuaciones arbitrales. En caso de incumplimiento de cualesquiera de las cuotas o armadas, se otorgará un plazo adicional de cinco (5) días hábiles, para el pago de la cuota o armada correspondiente, bajo apercibimiento de proceder con la suspensión de conformidad con el inciso 5 del artículo 85.</w:t>
      </w:r>
    </w:p>
    <w:p w14:paraId="51B05996" w14:textId="77777777" w:rsidR="00CD23AE" w:rsidRDefault="00127FFC" w:rsidP="005E41D0">
      <w:pPr>
        <w:pStyle w:val="Ttulo6"/>
        <w:spacing w:before="269"/>
        <w:jc w:val="both"/>
        <w:rPr>
          <w:rFonts w:ascii="Arial" w:eastAsia="Arial" w:hAnsi="Arial" w:cs="Arial"/>
          <w:sz w:val="24"/>
          <w:szCs w:val="24"/>
        </w:rPr>
      </w:pPr>
      <w:r>
        <w:rPr>
          <w:rFonts w:ascii="Arial" w:eastAsia="Arial" w:hAnsi="Arial" w:cs="Arial"/>
          <w:color w:val="916F41"/>
          <w:sz w:val="24"/>
          <w:szCs w:val="24"/>
        </w:rPr>
        <w:t xml:space="preserve">ARTÍCULO 86°. - </w:t>
      </w:r>
      <w:r>
        <w:rPr>
          <w:rFonts w:ascii="Arial" w:eastAsia="Arial" w:hAnsi="Arial" w:cs="Arial"/>
          <w:sz w:val="24"/>
          <w:szCs w:val="24"/>
        </w:rPr>
        <w:t>DEVOLUCIÓN DE HONORARIOS DE LOS ÁRBITROS</w:t>
      </w:r>
    </w:p>
    <w:p w14:paraId="75699F37" w14:textId="77777777" w:rsidR="00CD23AE" w:rsidRDefault="00127FFC">
      <w:pPr>
        <w:numPr>
          <w:ilvl w:val="0"/>
          <w:numId w:val="1"/>
        </w:numPr>
        <w:pBdr>
          <w:top w:val="nil"/>
          <w:left w:val="nil"/>
          <w:bottom w:val="nil"/>
          <w:right w:val="nil"/>
          <w:between w:val="nil"/>
        </w:pBdr>
        <w:tabs>
          <w:tab w:val="left" w:pos="725"/>
        </w:tabs>
        <w:spacing w:before="213" w:line="273" w:lineRule="auto"/>
        <w:ind w:left="482" w:right="197" w:firstLine="0"/>
        <w:jc w:val="both"/>
        <w:rPr>
          <w:rFonts w:ascii="Arial" w:eastAsia="Arial" w:hAnsi="Arial" w:cs="Arial"/>
        </w:rPr>
      </w:pPr>
      <w:r>
        <w:rPr>
          <w:rFonts w:ascii="Arial" w:eastAsia="Arial" w:hAnsi="Arial" w:cs="Arial"/>
        </w:rPr>
        <w:t>La devolución de honorarios de árbitros se efectúa en caso de producirse el reemplazo de un árbitro por causa de sustitución. El árbitro que sea sustituido debe proceder a la devolución de sus honorarios en el plazo de cinco (5) días hábiles contado desde la notificación que lo requiere.</w:t>
      </w:r>
    </w:p>
    <w:p w14:paraId="700DE502" w14:textId="77777777" w:rsidR="00CD23AE" w:rsidRDefault="00127FFC">
      <w:pPr>
        <w:numPr>
          <w:ilvl w:val="0"/>
          <w:numId w:val="1"/>
        </w:numPr>
        <w:pBdr>
          <w:top w:val="nil"/>
          <w:left w:val="nil"/>
          <w:bottom w:val="nil"/>
          <w:right w:val="nil"/>
          <w:between w:val="nil"/>
        </w:pBdr>
        <w:tabs>
          <w:tab w:val="left" w:pos="834"/>
        </w:tabs>
        <w:spacing w:before="205" w:line="273" w:lineRule="auto"/>
        <w:ind w:left="482" w:right="197" w:firstLine="0"/>
        <w:jc w:val="both"/>
        <w:rPr>
          <w:rFonts w:ascii="Arial" w:eastAsia="Arial" w:hAnsi="Arial" w:cs="Arial"/>
        </w:rPr>
      </w:pPr>
      <w:r>
        <w:rPr>
          <w:rFonts w:ascii="Arial" w:eastAsia="Arial" w:hAnsi="Arial" w:cs="Arial"/>
        </w:rPr>
        <w:t>La Secretaría General establecerá el monto de los honorarios que le corresponde devolver, pudiendo incluso disponer la devolución del íntegro de estos, debiendo considerar los motivos de su sustitución y el estado del arbitraje.</w:t>
      </w:r>
    </w:p>
    <w:p w14:paraId="60176A72" w14:textId="77777777" w:rsidR="00CD23AE" w:rsidRDefault="00127FFC">
      <w:pPr>
        <w:numPr>
          <w:ilvl w:val="0"/>
          <w:numId w:val="1"/>
        </w:numPr>
        <w:pBdr>
          <w:top w:val="nil"/>
          <w:left w:val="nil"/>
          <w:bottom w:val="nil"/>
          <w:right w:val="nil"/>
          <w:between w:val="nil"/>
        </w:pBdr>
        <w:tabs>
          <w:tab w:val="left" w:pos="776"/>
        </w:tabs>
        <w:spacing w:before="205" w:line="273" w:lineRule="auto"/>
        <w:ind w:left="482" w:right="197" w:firstLine="0"/>
        <w:jc w:val="both"/>
        <w:rPr>
          <w:rFonts w:ascii="Arial" w:eastAsia="Arial" w:hAnsi="Arial" w:cs="Arial"/>
        </w:rPr>
      </w:pPr>
      <w:r>
        <w:rPr>
          <w:rFonts w:ascii="Arial" w:eastAsia="Arial" w:hAnsi="Arial" w:cs="Arial"/>
        </w:rPr>
        <w:t>En caso de no cumplirse con la obligación de devolver los honorarios en el plazo fijado, el Consejo Superior de Arbitraje, de oficio o a pedido de parte, puede sancionar al árbitro de acuerdo con lo establecido en el Código de Ética del Centro.</w:t>
      </w:r>
    </w:p>
    <w:p w14:paraId="7D5B86D4" w14:textId="77777777" w:rsidR="00CD23AE" w:rsidRDefault="00127FFC" w:rsidP="005E41D0">
      <w:pPr>
        <w:pStyle w:val="Ttulo6"/>
        <w:spacing w:before="215" w:line="268" w:lineRule="auto"/>
        <w:ind w:right="197"/>
        <w:jc w:val="both"/>
        <w:rPr>
          <w:rFonts w:ascii="Arial" w:eastAsia="Arial" w:hAnsi="Arial" w:cs="Arial"/>
          <w:sz w:val="24"/>
          <w:szCs w:val="24"/>
        </w:rPr>
      </w:pPr>
      <w:r>
        <w:rPr>
          <w:rFonts w:ascii="Arial" w:eastAsia="Arial" w:hAnsi="Arial" w:cs="Arial"/>
          <w:color w:val="916F41"/>
          <w:sz w:val="24"/>
          <w:szCs w:val="24"/>
        </w:rPr>
        <w:t>ARTÍCULO 87°. -</w:t>
      </w:r>
      <w:r>
        <w:rPr>
          <w:rFonts w:ascii="Arial" w:eastAsia="Arial" w:hAnsi="Arial" w:cs="Arial"/>
          <w:sz w:val="24"/>
          <w:szCs w:val="24"/>
        </w:rPr>
        <w:t xml:space="preserve"> CONCLUSIÓN DEL ARBITRAJE ANTES DE LA EMISIÓN DEL LAUDO</w:t>
      </w:r>
    </w:p>
    <w:p w14:paraId="3B50770A" w14:textId="77777777" w:rsidR="00CD23AE" w:rsidRDefault="00127FFC">
      <w:pPr>
        <w:pBdr>
          <w:top w:val="nil"/>
          <w:left w:val="nil"/>
          <w:bottom w:val="nil"/>
          <w:right w:val="nil"/>
          <w:between w:val="nil"/>
        </w:pBdr>
        <w:spacing w:before="184" w:line="273" w:lineRule="auto"/>
        <w:ind w:left="482" w:right="197"/>
        <w:jc w:val="both"/>
        <w:rPr>
          <w:rFonts w:ascii="Arial" w:eastAsia="Arial" w:hAnsi="Arial" w:cs="Arial"/>
        </w:rPr>
      </w:pPr>
      <w:r>
        <w:rPr>
          <w:rFonts w:ascii="Arial" w:eastAsia="Arial" w:hAnsi="Arial" w:cs="Arial"/>
        </w:rPr>
        <w:t xml:space="preserve">En los casos de conclusión anticipada del arbitraje, como son el desistimiento, conciliación, entre otros, así como en los supuestos de archivo, en los que corresponda, el Consejo Superior de Arbitraje se pronunciará sobre la devolución de los honorarios profesionales, a pedido de una de las partes. </w:t>
      </w:r>
    </w:p>
    <w:p w14:paraId="18F39693" w14:textId="77777777" w:rsidR="00CD23AE" w:rsidRDefault="00CD23AE">
      <w:pPr>
        <w:pBdr>
          <w:top w:val="nil"/>
          <w:left w:val="nil"/>
          <w:bottom w:val="nil"/>
          <w:right w:val="nil"/>
          <w:between w:val="nil"/>
        </w:pBdr>
        <w:jc w:val="both"/>
        <w:rPr>
          <w:rFonts w:ascii="Arial" w:eastAsia="Arial" w:hAnsi="Arial" w:cs="Arial"/>
        </w:rPr>
      </w:pPr>
    </w:p>
    <w:p w14:paraId="53E43402" w14:textId="77777777" w:rsidR="00CD23AE" w:rsidRDefault="00CD23AE">
      <w:pPr>
        <w:pBdr>
          <w:top w:val="nil"/>
          <w:left w:val="nil"/>
          <w:bottom w:val="nil"/>
          <w:right w:val="nil"/>
          <w:between w:val="nil"/>
        </w:pBdr>
        <w:jc w:val="both"/>
        <w:rPr>
          <w:rFonts w:ascii="Arial" w:eastAsia="Arial" w:hAnsi="Arial" w:cs="Arial"/>
        </w:rPr>
      </w:pPr>
    </w:p>
    <w:p w14:paraId="74AC09D0" w14:textId="77777777" w:rsidR="00CD23AE" w:rsidRDefault="00CD23AE">
      <w:pPr>
        <w:pBdr>
          <w:top w:val="nil"/>
          <w:left w:val="nil"/>
          <w:bottom w:val="nil"/>
          <w:right w:val="nil"/>
          <w:between w:val="nil"/>
        </w:pBdr>
        <w:jc w:val="both"/>
        <w:rPr>
          <w:rFonts w:ascii="Arial" w:eastAsia="Arial" w:hAnsi="Arial" w:cs="Arial"/>
        </w:rPr>
      </w:pPr>
    </w:p>
    <w:p w14:paraId="07016FA5" w14:textId="77777777" w:rsidR="00CD23AE" w:rsidRDefault="00CD23AE">
      <w:pPr>
        <w:pBdr>
          <w:top w:val="nil"/>
          <w:left w:val="nil"/>
          <w:bottom w:val="nil"/>
          <w:right w:val="nil"/>
          <w:between w:val="nil"/>
        </w:pBdr>
        <w:jc w:val="both"/>
        <w:rPr>
          <w:rFonts w:ascii="Arial" w:eastAsia="Arial" w:hAnsi="Arial" w:cs="Arial"/>
        </w:rPr>
      </w:pPr>
    </w:p>
    <w:p w14:paraId="5D24C2D0" w14:textId="77777777" w:rsidR="00CD23AE" w:rsidRDefault="00CD23AE">
      <w:pPr>
        <w:pBdr>
          <w:top w:val="nil"/>
          <w:left w:val="nil"/>
          <w:bottom w:val="nil"/>
          <w:right w:val="nil"/>
          <w:between w:val="nil"/>
        </w:pBdr>
        <w:jc w:val="both"/>
        <w:rPr>
          <w:rFonts w:ascii="Arial" w:eastAsia="Arial" w:hAnsi="Arial" w:cs="Arial"/>
        </w:rPr>
      </w:pPr>
    </w:p>
    <w:p w14:paraId="66529667" w14:textId="77777777" w:rsidR="00CD23AE" w:rsidRDefault="00CD23AE">
      <w:pPr>
        <w:pBdr>
          <w:top w:val="nil"/>
          <w:left w:val="nil"/>
          <w:bottom w:val="nil"/>
          <w:right w:val="nil"/>
          <w:between w:val="nil"/>
        </w:pBdr>
        <w:jc w:val="both"/>
        <w:rPr>
          <w:rFonts w:ascii="Arial" w:eastAsia="Arial" w:hAnsi="Arial" w:cs="Arial"/>
        </w:rPr>
      </w:pPr>
    </w:p>
    <w:p w14:paraId="0960DC64" w14:textId="77777777" w:rsidR="00CD23AE" w:rsidRDefault="00CD23AE">
      <w:pPr>
        <w:pBdr>
          <w:top w:val="nil"/>
          <w:left w:val="nil"/>
          <w:bottom w:val="nil"/>
          <w:right w:val="nil"/>
          <w:between w:val="nil"/>
        </w:pBdr>
        <w:jc w:val="both"/>
        <w:rPr>
          <w:rFonts w:ascii="Arial" w:eastAsia="Arial" w:hAnsi="Arial" w:cs="Arial"/>
        </w:rPr>
      </w:pPr>
    </w:p>
    <w:p w14:paraId="63F39C2D" w14:textId="77777777" w:rsidR="00CD23AE" w:rsidRDefault="00CD23AE">
      <w:pPr>
        <w:pBdr>
          <w:top w:val="nil"/>
          <w:left w:val="nil"/>
          <w:bottom w:val="nil"/>
          <w:right w:val="nil"/>
          <w:between w:val="nil"/>
        </w:pBdr>
        <w:jc w:val="both"/>
        <w:rPr>
          <w:rFonts w:ascii="Arial" w:eastAsia="Arial" w:hAnsi="Arial" w:cs="Arial"/>
        </w:rPr>
      </w:pPr>
    </w:p>
    <w:p w14:paraId="13BB5EDD" w14:textId="77777777" w:rsidR="00CD23AE" w:rsidRDefault="00CD23AE">
      <w:pPr>
        <w:pBdr>
          <w:top w:val="nil"/>
          <w:left w:val="nil"/>
          <w:bottom w:val="nil"/>
          <w:right w:val="nil"/>
          <w:between w:val="nil"/>
        </w:pBdr>
        <w:jc w:val="both"/>
        <w:rPr>
          <w:rFonts w:ascii="Arial" w:eastAsia="Arial" w:hAnsi="Arial" w:cs="Arial"/>
        </w:rPr>
      </w:pPr>
    </w:p>
    <w:p w14:paraId="16330912" w14:textId="77777777" w:rsidR="00CD23AE" w:rsidRDefault="00CD23AE">
      <w:pPr>
        <w:pBdr>
          <w:top w:val="nil"/>
          <w:left w:val="nil"/>
          <w:bottom w:val="nil"/>
          <w:right w:val="nil"/>
          <w:between w:val="nil"/>
        </w:pBdr>
        <w:jc w:val="both"/>
        <w:rPr>
          <w:rFonts w:ascii="Arial" w:eastAsia="Arial" w:hAnsi="Arial" w:cs="Arial"/>
        </w:rPr>
        <w:sectPr w:rsidR="00CD23AE">
          <w:headerReference w:type="default" r:id="rId25"/>
          <w:footerReference w:type="default" r:id="rId26"/>
          <w:pgSz w:w="11910" w:h="16850"/>
          <w:pgMar w:top="1450" w:right="992" w:bottom="920" w:left="708" w:header="0" w:footer="0" w:gutter="0"/>
          <w:cols w:space="720"/>
        </w:sectPr>
      </w:pPr>
    </w:p>
    <w:p w14:paraId="3EEFC7A3" w14:textId="77777777" w:rsidR="00CD23AE" w:rsidRDefault="00127FFC">
      <w:pPr>
        <w:pStyle w:val="Ttulo2"/>
        <w:ind w:left="136"/>
        <w:jc w:val="center"/>
        <w:rPr>
          <w:rFonts w:ascii="Arial" w:eastAsia="Arial" w:hAnsi="Arial" w:cs="Arial"/>
          <w:b/>
          <w:color w:val="E80303"/>
          <w:sz w:val="28"/>
          <w:szCs w:val="28"/>
        </w:rPr>
      </w:pPr>
      <w:bookmarkStart w:id="15" w:name="_heading=h.7c9byjbnh5uc" w:colFirst="0" w:colLast="0"/>
      <w:bookmarkEnd w:id="15"/>
      <w:r>
        <w:rPr>
          <w:rFonts w:ascii="Arial" w:eastAsia="Arial" w:hAnsi="Arial" w:cs="Arial"/>
          <w:b/>
          <w:color w:val="E80303"/>
          <w:sz w:val="28"/>
          <w:szCs w:val="28"/>
        </w:rPr>
        <w:lastRenderedPageBreak/>
        <w:t>DISPOSICIONES COMPLEMENTARIAS Y FINALES</w:t>
      </w:r>
    </w:p>
    <w:p w14:paraId="0FCA98BA" w14:textId="77777777" w:rsidR="00CD23AE" w:rsidRDefault="00127FFC" w:rsidP="005E41D0">
      <w:pPr>
        <w:pStyle w:val="Ttulo6"/>
        <w:spacing w:before="274"/>
        <w:jc w:val="both"/>
        <w:rPr>
          <w:rFonts w:ascii="Arial" w:eastAsia="Arial" w:hAnsi="Arial" w:cs="Arial"/>
          <w:sz w:val="22"/>
          <w:szCs w:val="22"/>
        </w:rPr>
      </w:pPr>
      <w:r>
        <w:rPr>
          <w:rFonts w:ascii="Arial" w:eastAsia="Arial" w:hAnsi="Arial" w:cs="Arial"/>
          <w:sz w:val="22"/>
          <w:szCs w:val="22"/>
        </w:rPr>
        <w:t>PRIMERA</w:t>
      </w:r>
    </w:p>
    <w:p w14:paraId="6A51C93F" w14:textId="77777777" w:rsidR="00CD23AE" w:rsidRDefault="00127FFC">
      <w:pPr>
        <w:pBdr>
          <w:top w:val="nil"/>
          <w:left w:val="nil"/>
          <w:bottom w:val="nil"/>
          <w:right w:val="nil"/>
          <w:between w:val="nil"/>
        </w:pBdr>
        <w:spacing w:before="110" w:line="273" w:lineRule="auto"/>
        <w:ind w:left="482" w:right="197"/>
        <w:jc w:val="both"/>
        <w:rPr>
          <w:rFonts w:ascii="Arial" w:eastAsia="Arial" w:hAnsi="Arial" w:cs="Arial"/>
        </w:rPr>
      </w:pPr>
      <w:r>
        <w:rPr>
          <w:rFonts w:ascii="Arial" w:eastAsia="Arial" w:hAnsi="Arial" w:cs="Arial"/>
        </w:rPr>
        <w:t>En todo lo no regulado por el presente Reglamento, será de aplicación la Ley de Arbitraje o la norma especial que corresponda.</w:t>
      </w:r>
    </w:p>
    <w:p w14:paraId="5EA26022" w14:textId="77777777" w:rsidR="00CD23AE" w:rsidRDefault="00127FFC">
      <w:pPr>
        <w:pBdr>
          <w:top w:val="nil"/>
          <w:left w:val="nil"/>
          <w:bottom w:val="nil"/>
          <w:right w:val="nil"/>
          <w:between w:val="nil"/>
        </w:pBdr>
        <w:spacing w:before="124" w:line="273" w:lineRule="auto"/>
        <w:ind w:left="482" w:right="197"/>
        <w:jc w:val="both"/>
        <w:rPr>
          <w:rFonts w:ascii="Arial" w:eastAsia="Arial" w:hAnsi="Arial" w:cs="Arial"/>
        </w:rPr>
      </w:pPr>
      <w:r>
        <w:rPr>
          <w:rFonts w:ascii="Arial" w:eastAsia="Arial" w:hAnsi="Arial" w:cs="Arial"/>
        </w:rPr>
        <w:t>Para los arbitrajes sobre contrataciones con el Estado, se aplicará supletoriamente la normatividad de la materia.</w:t>
      </w:r>
    </w:p>
    <w:p w14:paraId="164EE7EC" w14:textId="77777777" w:rsidR="00CD23AE" w:rsidRDefault="00127FFC" w:rsidP="005E41D0">
      <w:pPr>
        <w:pStyle w:val="Ttulo6"/>
        <w:spacing w:before="252"/>
        <w:jc w:val="both"/>
        <w:rPr>
          <w:rFonts w:ascii="Arial" w:eastAsia="Arial" w:hAnsi="Arial" w:cs="Arial"/>
          <w:sz w:val="22"/>
          <w:szCs w:val="22"/>
        </w:rPr>
      </w:pPr>
      <w:r>
        <w:rPr>
          <w:rFonts w:ascii="Arial" w:eastAsia="Arial" w:hAnsi="Arial" w:cs="Arial"/>
          <w:sz w:val="22"/>
          <w:szCs w:val="22"/>
        </w:rPr>
        <w:t>SEGUNDA</w:t>
      </w:r>
    </w:p>
    <w:p w14:paraId="6C240DF7" w14:textId="77777777" w:rsidR="00CD23AE" w:rsidRDefault="00127FFC">
      <w:pPr>
        <w:pBdr>
          <w:top w:val="nil"/>
          <w:left w:val="nil"/>
          <w:bottom w:val="nil"/>
          <w:right w:val="nil"/>
          <w:between w:val="nil"/>
        </w:pBdr>
        <w:spacing w:before="111" w:line="273" w:lineRule="auto"/>
        <w:ind w:left="482" w:right="197"/>
        <w:jc w:val="both"/>
        <w:rPr>
          <w:rFonts w:ascii="Arial" w:eastAsia="Arial" w:hAnsi="Arial" w:cs="Arial"/>
        </w:rPr>
      </w:pPr>
      <w:r>
        <w:rPr>
          <w:rFonts w:ascii="Arial" w:eastAsia="Arial" w:hAnsi="Arial" w:cs="Arial"/>
        </w:rPr>
        <w:t>Las partes podrán acordar modificar los diferentes plazos previstos en este Reglamento, salvo lo estipulado en la sección relativa a los costos del Arbitraje.</w:t>
      </w:r>
    </w:p>
    <w:p w14:paraId="3E38B6A4" w14:textId="77777777" w:rsidR="00CD23AE" w:rsidRDefault="00127FFC">
      <w:pPr>
        <w:pBdr>
          <w:top w:val="nil"/>
          <w:left w:val="nil"/>
          <w:bottom w:val="nil"/>
          <w:right w:val="nil"/>
          <w:between w:val="nil"/>
        </w:pBdr>
        <w:spacing w:before="116" w:line="273" w:lineRule="auto"/>
        <w:ind w:left="482" w:right="197"/>
        <w:jc w:val="both"/>
        <w:rPr>
          <w:rFonts w:ascii="Arial" w:eastAsia="Arial" w:hAnsi="Arial" w:cs="Arial"/>
        </w:rPr>
      </w:pPr>
      <w:r>
        <w:rPr>
          <w:rFonts w:ascii="Arial" w:eastAsia="Arial" w:hAnsi="Arial" w:cs="Arial"/>
        </w:rPr>
        <w:t>Las reglas del Centro relativas al pago de los Costos del Arbitraje, así como las referidas a la gestión administrativa del arbitraje, no podrán ser modificadas por acuerdo de partes o disposición de los árbitros. Cualquier pacto en contrario a las referidas reglas, será considerado como no puesto.</w:t>
      </w:r>
    </w:p>
    <w:p w14:paraId="20C37970" w14:textId="77777777" w:rsidR="00CD23AE" w:rsidRDefault="00127FFC" w:rsidP="005E41D0">
      <w:pPr>
        <w:pStyle w:val="Ttulo6"/>
        <w:spacing w:before="245"/>
        <w:jc w:val="both"/>
        <w:rPr>
          <w:rFonts w:ascii="Arial" w:eastAsia="Arial" w:hAnsi="Arial" w:cs="Arial"/>
          <w:sz w:val="22"/>
          <w:szCs w:val="22"/>
        </w:rPr>
      </w:pPr>
      <w:r>
        <w:rPr>
          <w:rFonts w:ascii="Arial" w:eastAsia="Arial" w:hAnsi="Arial" w:cs="Arial"/>
          <w:sz w:val="22"/>
          <w:szCs w:val="22"/>
        </w:rPr>
        <w:t>TERCERA</w:t>
      </w:r>
    </w:p>
    <w:p w14:paraId="06167896" w14:textId="77777777" w:rsidR="00CD23AE" w:rsidRDefault="00127FFC">
      <w:pPr>
        <w:pBdr>
          <w:top w:val="nil"/>
          <w:left w:val="nil"/>
          <w:bottom w:val="nil"/>
          <w:right w:val="nil"/>
          <w:between w:val="nil"/>
        </w:pBdr>
        <w:spacing w:before="110" w:line="273" w:lineRule="auto"/>
        <w:ind w:left="482" w:right="197"/>
        <w:jc w:val="both"/>
        <w:rPr>
          <w:rFonts w:ascii="Arial" w:eastAsia="Arial" w:hAnsi="Arial" w:cs="Arial"/>
        </w:rPr>
      </w:pPr>
      <w:r>
        <w:rPr>
          <w:rFonts w:ascii="Arial" w:eastAsia="Arial" w:hAnsi="Arial" w:cs="Arial"/>
        </w:rPr>
        <w:t>Cuando en el presente Reglamento se disponga que el Centro, la Secretaría Arbitral, la Secretaría General, los árbitros tengan que comunicar o notificar a las partes, se entenderá que estas comunicaciones y/o notificaciones serán realizadas a través de un correo electrónico, salvo los casos establecidos como excepciones por este Reglamento.</w:t>
      </w:r>
    </w:p>
    <w:p w14:paraId="271CBD21" w14:textId="77777777" w:rsidR="00CD23AE" w:rsidRDefault="00127FFC">
      <w:pPr>
        <w:pBdr>
          <w:top w:val="nil"/>
          <w:left w:val="nil"/>
          <w:bottom w:val="nil"/>
          <w:right w:val="nil"/>
          <w:between w:val="nil"/>
        </w:pBdr>
        <w:spacing w:before="234"/>
        <w:ind w:left="482"/>
        <w:jc w:val="both"/>
        <w:rPr>
          <w:rFonts w:ascii="Arial" w:eastAsia="Arial" w:hAnsi="Arial" w:cs="Arial"/>
        </w:rPr>
      </w:pPr>
      <w:r>
        <w:rPr>
          <w:rFonts w:ascii="Arial" w:eastAsia="Arial" w:hAnsi="Arial" w:cs="Arial"/>
        </w:rPr>
        <w:t>Las audiencias programadas podrán ser realizadas de manera virtual.</w:t>
      </w:r>
    </w:p>
    <w:p w14:paraId="14905C07" w14:textId="77777777" w:rsidR="00CD23AE" w:rsidRDefault="00127FFC" w:rsidP="005E41D0">
      <w:pPr>
        <w:pStyle w:val="Ttulo6"/>
        <w:spacing w:before="291"/>
        <w:jc w:val="both"/>
        <w:rPr>
          <w:rFonts w:ascii="Arial" w:eastAsia="Arial" w:hAnsi="Arial" w:cs="Arial"/>
          <w:sz w:val="22"/>
          <w:szCs w:val="22"/>
        </w:rPr>
      </w:pPr>
      <w:r>
        <w:rPr>
          <w:rFonts w:ascii="Arial" w:eastAsia="Arial" w:hAnsi="Arial" w:cs="Arial"/>
          <w:sz w:val="22"/>
          <w:szCs w:val="22"/>
        </w:rPr>
        <w:t>CUARTA</w:t>
      </w:r>
    </w:p>
    <w:p w14:paraId="01274580" w14:textId="77777777" w:rsidR="00CD23AE" w:rsidRDefault="00127FFC">
      <w:pPr>
        <w:pBdr>
          <w:top w:val="nil"/>
          <w:left w:val="nil"/>
          <w:bottom w:val="nil"/>
          <w:right w:val="nil"/>
          <w:between w:val="nil"/>
        </w:pBdr>
        <w:spacing w:before="111" w:line="273" w:lineRule="auto"/>
        <w:ind w:left="482" w:right="197"/>
        <w:jc w:val="both"/>
        <w:rPr>
          <w:rFonts w:ascii="Arial" w:eastAsia="Arial" w:hAnsi="Arial" w:cs="Arial"/>
        </w:rPr>
      </w:pPr>
      <w:r>
        <w:rPr>
          <w:rFonts w:ascii="Arial" w:eastAsia="Arial" w:hAnsi="Arial" w:cs="Arial"/>
        </w:rPr>
        <w:t>El Centro podrá desempeñarse como entidad nominadora de árbitros. La parte que solicita la designación o nombramiento de un árbitro, presentará una solicitud, con los requisitos establecidos en el artículo 12° del presente Reglamento, en lo que sea pertinente, con una copia simple del cargo de la notificación de arbitraje a la contraparte, copia del acto jurídico que haya originado la controversia o con el cual esté relacionada y copia del convenio arbitral de no encontrarse inserto en el documento anterior. En este último caso, podrá también presentar copia de todo aquello que establece la legislación como convenio arbitral.</w:t>
      </w:r>
    </w:p>
    <w:p w14:paraId="5AA1E184" w14:textId="77777777" w:rsidR="00CD23AE" w:rsidRDefault="00127FFC">
      <w:pPr>
        <w:pBdr>
          <w:top w:val="nil"/>
          <w:left w:val="nil"/>
          <w:bottom w:val="nil"/>
          <w:right w:val="nil"/>
          <w:between w:val="nil"/>
        </w:pBdr>
        <w:spacing w:before="228" w:line="273" w:lineRule="auto"/>
        <w:ind w:left="482" w:right="197"/>
        <w:jc w:val="both"/>
        <w:rPr>
          <w:rFonts w:ascii="Arial" w:eastAsia="Arial" w:hAnsi="Arial" w:cs="Arial"/>
        </w:rPr>
      </w:pPr>
      <w:r>
        <w:rPr>
          <w:rFonts w:ascii="Arial" w:eastAsia="Arial" w:hAnsi="Arial" w:cs="Arial"/>
        </w:rPr>
        <w:t>El Centro correrá traslado de la solicitud a la contraparte por un plazo de cinco (5) días. Con su absolución o sin ella, el Consejo Superior de Arbitraje resolverá el pedido de nombramiento de árbitro.</w:t>
      </w:r>
    </w:p>
    <w:p w14:paraId="0F5570A1" w14:textId="77777777" w:rsidR="00CD23AE" w:rsidRDefault="00CD23AE">
      <w:pPr>
        <w:pStyle w:val="Ttulo6"/>
        <w:ind w:firstLine="482"/>
        <w:jc w:val="both"/>
        <w:rPr>
          <w:rFonts w:ascii="Arial" w:eastAsia="Arial" w:hAnsi="Arial" w:cs="Arial"/>
          <w:sz w:val="22"/>
          <w:szCs w:val="22"/>
        </w:rPr>
      </w:pPr>
    </w:p>
    <w:p w14:paraId="5BCE901A" w14:textId="77777777" w:rsidR="00CD23AE" w:rsidRDefault="00127FFC" w:rsidP="005E41D0">
      <w:pPr>
        <w:pStyle w:val="Ttulo6"/>
        <w:jc w:val="both"/>
        <w:rPr>
          <w:rFonts w:ascii="Arial" w:eastAsia="Arial" w:hAnsi="Arial" w:cs="Arial"/>
          <w:sz w:val="22"/>
          <w:szCs w:val="22"/>
        </w:rPr>
      </w:pPr>
      <w:r>
        <w:rPr>
          <w:rFonts w:ascii="Arial" w:eastAsia="Arial" w:hAnsi="Arial" w:cs="Arial"/>
          <w:sz w:val="22"/>
          <w:szCs w:val="22"/>
        </w:rPr>
        <w:t>QUINTA</w:t>
      </w:r>
    </w:p>
    <w:p w14:paraId="1E7B1774" w14:textId="77777777" w:rsidR="00CD23AE" w:rsidRDefault="00127FFC">
      <w:pPr>
        <w:pBdr>
          <w:top w:val="nil"/>
          <w:left w:val="nil"/>
          <w:bottom w:val="nil"/>
          <w:right w:val="nil"/>
          <w:between w:val="nil"/>
        </w:pBdr>
        <w:spacing w:before="110" w:line="273" w:lineRule="auto"/>
        <w:ind w:left="482" w:right="197"/>
        <w:jc w:val="both"/>
        <w:rPr>
          <w:rFonts w:ascii="Arial" w:eastAsia="Arial" w:hAnsi="Arial" w:cs="Arial"/>
        </w:rPr>
      </w:pPr>
      <w:r>
        <w:rPr>
          <w:rFonts w:ascii="Arial" w:eastAsia="Arial" w:hAnsi="Arial" w:cs="Arial"/>
        </w:rPr>
        <w:t>De la especialización acreditada de los árbitros en contrataciones con el Estado.</w:t>
      </w:r>
    </w:p>
    <w:p w14:paraId="733F8718" w14:textId="77777777" w:rsidR="00CD23AE" w:rsidRDefault="00127FFC">
      <w:pPr>
        <w:pBdr>
          <w:top w:val="nil"/>
          <w:left w:val="nil"/>
          <w:bottom w:val="nil"/>
          <w:right w:val="nil"/>
          <w:between w:val="nil"/>
        </w:pBdr>
        <w:spacing w:before="87" w:line="273" w:lineRule="auto"/>
        <w:ind w:left="482" w:right="197"/>
        <w:jc w:val="both"/>
        <w:rPr>
          <w:rFonts w:ascii="Arial" w:eastAsia="Arial" w:hAnsi="Arial" w:cs="Arial"/>
        </w:rPr>
      </w:pPr>
      <w:r>
        <w:rPr>
          <w:rFonts w:ascii="Arial" w:eastAsia="Arial" w:hAnsi="Arial" w:cs="Arial"/>
        </w:rPr>
        <w:t>El Centro verificará la especialización de los árbitros a través de la acreditación de la formación académica, experiencia funcional y experiencia en docencia universitaria, de acuerdo con lo establecido en la Ley de Contrataciones del Estado, Reglamentos y directivas que señale el OECE, debiendo presentar los documentos que acrediten su especialización acompañada de una declaración jurada sobre la veracidad de estos.</w:t>
      </w:r>
    </w:p>
    <w:p w14:paraId="3E139B42" w14:textId="77777777" w:rsidR="00CD23AE" w:rsidRDefault="00CD23AE">
      <w:pPr>
        <w:pBdr>
          <w:top w:val="nil"/>
          <w:left w:val="nil"/>
          <w:bottom w:val="nil"/>
          <w:right w:val="nil"/>
          <w:between w:val="nil"/>
        </w:pBdr>
        <w:spacing w:before="48"/>
        <w:jc w:val="both"/>
        <w:rPr>
          <w:rFonts w:ascii="Arial" w:eastAsia="Arial" w:hAnsi="Arial" w:cs="Arial"/>
        </w:rPr>
      </w:pPr>
    </w:p>
    <w:p w14:paraId="11380853" w14:textId="77777777" w:rsidR="00CD23AE" w:rsidRDefault="00127FFC" w:rsidP="005E41D0">
      <w:pPr>
        <w:pStyle w:val="Ttulo6"/>
        <w:jc w:val="both"/>
        <w:rPr>
          <w:rFonts w:ascii="Arial" w:eastAsia="Arial" w:hAnsi="Arial" w:cs="Arial"/>
          <w:sz w:val="22"/>
          <w:szCs w:val="22"/>
        </w:rPr>
      </w:pPr>
      <w:r>
        <w:rPr>
          <w:rFonts w:ascii="Arial" w:eastAsia="Arial" w:hAnsi="Arial" w:cs="Arial"/>
          <w:sz w:val="22"/>
          <w:szCs w:val="22"/>
        </w:rPr>
        <w:t>SEXTA</w:t>
      </w:r>
    </w:p>
    <w:p w14:paraId="2DA4075C" w14:textId="77777777" w:rsidR="00CD23AE" w:rsidRDefault="00127FFC">
      <w:pPr>
        <w:pBdr>
          <w:top w:val="nil"/>
          <w:left w:val="nil"/>
          <w:bottom w:val="nil"/>
          <w:right w:val="nil"/>
          <w:between w:val="nil"/>
        </w:pBdr>
        <w:spacing w:before="110" w:line="273" w:lineRule="auto"/>
        <w:ind w:left="482" w:right="197"/>
        <w:jc w:val="both"/>
        <w:rPr>
          <w:rFonts w:ascii="Arial" w:eastAsia="Arial" w:hAnsi="Arial" w:cs="Arial"/>
        </w:rPr>
      </w:pPr>
      <w:r>
        <w:rPr>
          <w:rFonts w:ascii="Arial" w:eastAsia="Arial" w:hAnsi="Arial" w:cs="Arial"/>
        </w:rPr>
        <w:t>El Centro podrá brindar el servicio de Secretaría Arbitral ad-hoc, es decir cuando no se encuentren bajo su administración u organización, así como otros servicios vinculados con el arbitraje.</w:t>
      </w:r>
    </w:p>
    <w:p w14:paraId="08BB1889" w14:textId="77777777" w:rsidR="00CD23AE" w:rsidRDefault="00127FFC" w:rsidP="005E41D0">
      <w:pPr>
        <w:pStyle w:val="Ttulo6"/>
        <w:spacing w:before="222"/>
        <w:jc w:val="both"/>
        <w:rPr>
          <w:rFonts w:ascii="Arial" w:eastAsia="Arial" w:hAnsi="Arial" w:cs="Arial"/>
          <w:sz w:val="22"/>
          <w:szCs w:val="22"/>
        </w:rPr>
      </w:pPr>
      <w:r>
        <w:rPr>
          <w:rFonts w:ascii="Arial" w:eastAsia="Arial" w:hAnsi="Arial" w:cs="Arial"/>
          <w:sz w:val="22"/>
          <w:szCs w:val="22"/>
        </w:rPr>
        <w:lastRenderedPageBreak/>
        <w:t>SÉPTIMA</w:t>
      </w:r>
    </w:p>
    <w:p w14:paraId="0CA8F785" w14:textId="77777777" w:rsidR="00CD23AE" w:rsidRDefault="00127FFC">
      <w:pPr>
        <w:pBdr>
          <w:top w:val="nil"/>
          <w:left w:val="nil"/>
          <w:bottom w:val="nil"/>
          <w:right w:val="nil"/>
          <w:between w:val="nil"/>
        </w:pBdr>
        <w:spacing w:before="240" w:line="273" w:lineRule="auto"/>
        <w:ind w:left="482" w:right="197"/>
        <w:jc w:val="both"/>
        <w:rPr>
          <w:rFonts w:ascii="Arial" w:eastAsia="Arial" w:hAnsi="Arial" w:cs="Arial"/>
        </w:rPr>
      </w:pPr>
      <w:r>
        <w:rPr>
          <w:rFonts w:ascii="Arial" w:eastAsia="Arial" w:hAnsi="Arial" w:cs="Arial"/>
        </w:rPr>
        <w:t>La intervención de un Árbitro de Emergencia, conforme al artículo 66° del presente Reglamento, podrá ser solicitada en los arbitrajes derivados de convenios arbitrales suscritos en vigencia del presente Reglamento, salvo pacto en contrario de las partes.</w:t>
      </w:r>
    </w:p>
    <w:p w14:paraId="492C6230" w14:textId="77777777" w:rsidR="00CD23AE" w:rsidRDefault="00CD23AE">
      <w:pPr>
        <w:pBdr>
          <w:top w:val="nil"/>
          <w:left w:val="nil"/>
          <w:bottom w:val="nil"/>
          <w:right w:val="nil"/>
          <w:between w:val="nil"/>
        </w:pBdr>
        <w:spacing w:before="47"/>
        <w:jc w:val="both"/>
        <w:rPr>
          <w:rFonts w:ascii="Arial" w:eastAsia="Arial" w:hAnsi="Arial" w:cs="Arial"/>
        </w:rPr>
      </w:pPr>
    </w:p>
    <w:p w14:paraId="46BFA01B" w14:textId="77777777" w:rsidR="00CD23AE" w:rsidRDefault="00127FFC" w:rsidP="005E41D0">
      <w:pPr>
        <w:pStyle w:val="Ttulo6"/>
        <w:jc w:val="both"/>
        <w:rPr>
          <w:rFonts w:ascii="Arial" w:eastAsia="Arial" w:hAnsi="Arial" w:cs="Arial"/>
          <w:sz w:val="22"/>
          <w:szCs w:val="22"/>
        </w:rPr>
      </w:pPr>
      <w:r>
        <w:rPr>
          <w:rFonts w:ascii="Arial" w:eastAsia="Arial" w:hAnsi="Arial" w:cs="Arial"/>
          <w:sz w:val="22"/>
          <w:szCs w:val="22"/>
        </w:rPr>
        <w:t>OCTAVA</w:t>
      </w:r>
    </w:p>
    <w:p w14:paraId="5951322A" w14:textId="6AA6DF66" w:rsidR="00CD23AE" w:rsidRDefault="00127FFC" w:rsidP="00E17893">
      <w:pPr>
        <w:pBdr>
          <w:top w:val="nil"/>
          <w:left w:val="nil"/>
          <w:bottom w:val="nil"/>
          <w:right w:val="nil"/>
          <w:between w:val="nil"/>
        </w:pBdr>
        <w:spacing w:before="240"/>
        <w:ind w:left="482"/>
        <w:jc w:val="both"/>
        <w:rPr>
          <w:rFonts w:ascii="Arial" w:eastAsia="Arial" w:hAnsi="Arial" w:cs="Arial"/>
        </w:rPr>
      </w:pPr>
      <w:r>
        <w:rPr>
          <w:rFonts w:ascii="Arial" w:eastAsia="Arial" w:hAnsi="Arial" w:cs="Arial"/>
        </w:rPr>
        <w:t>La Secretaría General está facultada para reglamentar el procedimiento</w:t>
      </w:r>
      <w:r w:rsidR="00E17893">
        <w:rPr>
          <w:rFonts w:ascii="Arial" w:eastAsia="Arial" w:hAnsi="Arial" w:cs="Arial"/>
        </w:rPr>
        <w:t xml:space="preserve"> </w:t>
      </w:r>
      <w:r>
        <w:rPr>
          <w:rFonts w:ascii="Arial" w:eastAsia="Arial" w:hAnsi="Arial" w:cs="Arial"/>
        </w:rPr>
        <w:t>de ejecución de Laudo a que se refiere el artículo 61° del presente Reglamento.</w:t>
      </w:r>
    </w:p>
    <w:p w14:paraId="1AFE5000" w14:textId="77777777" w:rsidR="00CD23AE" w:rsidRDefault="00CD23AE">
      <w:pPr>
        <w:pBdr>
          <w:top w:val="nil"/>
          <w:left w:val="nil"/>
          <w:bottom w:val="nil"/>
          <w:right w:val="nil"/>
          <w:between w:val="nil"/>
        </w:pBdr>
        <w:spacing w:before="49"/>
        <w:jc w:val="both"/>
        <w:rPr>
          <w:rFonts w:ascii="Arial" w:eastAsia="Arial" w:hAnsi="Arial" w:cs="Arial"/>
        </w:rPr>
      </w:pPr>
    </w:p>
    <w:p w14:paraId="294FC234" w14:textId="77777777" w:rsidR="00CD23AE" w:rsidRDefault="00127FFC" w:rsidP="005E41D0">
      <w:pPr>
        <w:pStyle w:val="Ttulo6"/>
        <w:jc w:val="both"/>
        <w:rPr>
          <w:rFonts w:ascii="Arial" w:eastAsia="Arial" w:hAnsi="Arial" w:cs="Arial"/>
          <w:sz w:val="22"/>
          <w:szCs w:val="22"/>
        </w:rPr>
      </w:pPr>
      <w:r>
        <w:rPr>
          <w:rFonts w:ascii="Arial" w:eastAsia="Arial" w:hAnsi="Arial" w:cs="Arial"/>
          <w:sz w:val="22"/>
          <w:szCs w:val="22"/>
        </w:rPr>
        <w:t>NOVENA</w:t>
      </w:r>
    </w:p>
    <w:p w14:paraId="73DA1330" w14:textId="77777777" w:rsidR="00CD23AE" w:rsidRDefault="00127FFC">
      <w:pPr>
        <w:pBdr>
          <w:top w:val="nil"/>
          <w:left w:val="nil"/>
          <w:bottom w:val="nil"/>
          <w:right w:val="nil"/>
          <w:between w:val="nil"/>
        </w:pBdr>
        <w:spacing w:before="240" w:line="273" w:lineRule="auto"/>
        <w:ind w:left="482" w:right="197"/>
        <w:jc w:val="both"/>
        <w:rPr>
          <w:rFonts w:ascii="Arial" w:eastAsia="Arial" w:hAnsi="Arial" w:cs="Arial"/>
        </w:rPr>
      </w:pPr>
      <w:r>
        <w:rPr>
          <w:rFonts w:ascii="Arial" w:eastAsia="Arial" w:hAnsi="Arial" w:cs="Arial"/>
        </w:rPr>
        <w:t>Las decisiones del Consejo Superior de Arbitraje y de la Secretaría General de Arbitraje, de ser el caso, son definitivas e inimpugnables. Sin perjuicio de ello, podrán modificar de oficio sus decisiones.</w:t>
      </w:r>
    </w:p>
    <w:p w14:paraId="101F1186" w14:textId="77777777" w:rsidR="00CD23AE" w:rsidRDefault="00127FFC">
      <w:pPr>
        <w:pBdr>
          <w:top w:val="nil"/>
          <w:left w:val="nil"/>
          <w:bottom w:val="nil"/>
          <w:right w:val="nil"/>
          <w:between w:val="nil"/>
        </w:pBdr>
        <w:spacing w:line="273" w:lineRule="auto"/>
        <w:ind w:left="482" w:right="197"/>
        <w:jc w:val="both"/>
        <w:rPr>
          <w:rFonts w:ascii="Arial" w:eastAsia="Arial" w:hAnsi="Arial" w:cs="Arial"/>
        </w:rPr>
      </w:pPr>
      <w:bookmarkStart w:id="16" w:name="_heading=h.6na3m9i3ezt3" w:colFirst="0" w:colLast="0"/>
      <w:bookmarkEnd w:id="16"/>
      <w:r>
        <w:rPr>
          <w:rFonts w:ascii="Arial" w:eastAsia="Arial" w:hAnsi="Arial" w:cs="Arial"/>
        </w:rPr>
        <w:t>Las impugnaciones de las decisiones del Consejo Superior de Arbitraje serán declaradas improcedentes de plano por la Secretaría General.</w:t>
      </w:r>
    </w:p>
    <w:p w14:paraId="12F0098A" w14:textId="77777777" w:rsidR="00CD23AE" w:rsidRDefault="00CD23AE">
      <w:pPr>
        <w:pBdr>
          <w:top w:val="nil"/>
          <w:left w:val="nil"/>
          <w:bottom w:val="nil"/>
          <w:right w:val="nil"/>
          <w:between w:val="nil"/>
        </w:pBdr>
        <w:spacing w:line="273" w:lineRule="auto"/>
        <w:ind w:left="482" w:right="197"/>
        <w:jc w:val="both"/>
        <w:rPr>
          <w:rFonts w:ascii="Arial" w:eastAsia="Arial" w:hAnsi="Arial" w:cs="Arial"/>
        </w:rPr>
      </w:pPr>
    </w:p>
    <w:p w14:paraId="1DAAAE07" w14:textId="77777777" w:rsidR="00CD23AE" w:rsidRDefault="00127FFC">
      <w:pPr>
        <w:pBdr>
          <w:top w:val="nil"/>
          <w:left w:val="nil"/>
          <w:bottom w:val="nil"/>
          <w:right w:val="nil"/>
          <w:between w:val="nil"/>
        </w:pBdr>
        <w:spacing w:line="273" w:lineRule="auto"/>
        <w:ind w:left="482" w:right="197"/>
        <w:jc w:val="both"/>
        <w:rPr>
          <w:rFonts w:ascii="Arial" w:eastAsia="Arial" w:hAnsi="Arial" w:cs="Arial"/>
          <w:b/>
        </w:rPr>
      </w:pPr>
      <w:r>
        <w:rPr>
          <w:rFonts w:ascii="Arial" w:eastAsia="Arial" w:hAnsi="Arial" w:cs="Arial"/>
          <w:b/>
        </w:rPr>
        <w:t>DÉCIMA</w:t>
      </w:r>
    </w:p>
    <w:p w14:paraId="37E3138B" w14:textId="77777777" w:rsidR="00CD23AE" w:rsidRDefault="00127FFC">
      <w:pPr>
        <w:pBdr>
          <w:top w:val="nil"/>
          <w:left w:val="nil"/>
          <w:bottom w:val="nil"/>
          <w:right w:val="nil"/>
          <w:between w:val="nil"/>
        </w:pBdr>
        <w:spacing w:before="110" w:line="273" w:lineRule="auto"/>
        <w:ind w:left="482" w:right="594"/>
        <w:jc w:val="both"/>
        <w:rPr>
          <w:rFonts w:ascii="Arial" w:eastAsia="Arial" w:hAnsi="Arial" w:cs="Arial"/>
        </w:rPr>
      </w:pPr>
      <w:r>
        <w:rPr>
          <w:rFonts w:ascii="Arial" w:eastAsia="Arial" w:hAnsi="Arial" w:cs="Arial"/>
        </w:rPr>
        <w:t>El Centro podrá brindar información estadística sobre la gestión arbitral a su cargo, así como sobre la conformación de los tribunales arbitrales.</w:t>
      </w:r>
    </w:p>
    <w:p w14:paraId="1D717C89" w14:textId="77777777" w:rsidR="00CD23AE" w:rsidRDefault="00CD23AE">
      <w:pPr>
        <w:pBdr>
          <w:top w:val="nil"/>
          <w:left w:val="nil"/>
          <w:bottom w:val="nil"/>
          <w:right w:val="nil"/>
          <w:between w:val="nil"/>
        </w:pBdr>
        <w:spacing w:line="273" w:lineRule="auto"/>
        <w:ind w:left="482" w:right="594"/>
        <w:jc w:val="both"/>
        <w:rPr>
          <w:rFonts w:ascii="Arial" w:eastAsia="Arial" w:hAnsi="Arial" w:cs="Arial"/>
        </w:rPr>
      </w:pPr>
    </w:p>
    <w:p w14:paraId="25C360B9" w14:textId="77777777" w:rsidR="00CD23AE" w:rsidRDefault="00127FFC">
      <w:pPr>
        <w:tabs>
          <w:tab w:val="left" w:pos="3181"/>
        </w:tabs>
        <w:ind w:left="482"/>
        <w:jc w:val="both"/>
        <w:rPr>
          <w:rFonts w:ascii="Arial" w:eastAsia="Arial" w:hAnsi="Arial" w:cs="Arial"/>
        </w:rPr>
      </w:pPr>
      <w:r>
        <w:rPr>
          <w:rFonts w:ascii="Arial" w:eastAsia="Arial" w:hAnsi="Arial" w:cs="Arial"/>
          <w:b/>
        </w:rPr>
        <w:t xml:space="preserve">DÉCIMA PRIMERA: </w:t>
      </w:r>
      <w:r>
        <w:rPr>
          <w:rFonts w:ascii="Arial" w:eastAsia="Arial" w:hAnsi="Arial" w:cs="Arial"/>
        </w:rPr>
        <w:t>Cláusula modelo de arbitraje del Centro:</w:t>
      </w:r>
    </w:p>
    <w:p w14:paraId="53626196" w14:textId="506473F7" w:rsidR="00CD23AE" w:rsidRDefault="00127FFC">
      <w:pPr>
        <w:pBdr>
          <w:top w:val="nil"/>
          <w:left w:val="nil"/>
          <w:bottom w:val="nil"/>
          <w:right w:val="nil"/>
          <w:between w:val="nil"/>
        </w:pBdr>
        <w:spacing w:before="110" w:line="273" w:lineRule="auto"/>
        <w:ind w:left="482" w:right="197"/>
        <w:jc w:val="both"/>
        <w:rPr>
          <w:rFonts w:ascii="Arial" w:eastAsia="Arial" w:hAnsi="Arial" w:cs="Arial"/>
        </w:rPr>
      </w:pPr>
      <w:r>
        <w:rPr>
          <w:rFonts w:ascii="Arial" w:eastAsia="Arial" w:hAnsi="Arial" w:cs="Arial"/>
        </w:rPr>
        <w:t xml:space="preserve">"Las partes acuerdan que todo litigio y controversia resultante de este contrato o relativo a este, se resolverá mediante el arbitraje organizado y administrado por CENTRO DE ARBITRAJE, PERITAJE Y JUNTA DE RESOLUCION DE DISPUTAS DEL CIP - UCAYALI, con RUC </w:t>
      </w:r>
      <w:r w:rsidRPr="00E17893">
        <w:rPr>
          <w:rFonts w:ascii="Arial" w:eastAsia="Arial" w:hAnsi="Arial" w:cs="Arial"/>
        </w:rPr>
        <w:t>N.</w:t>
      </w:r>
      <w:r w:rsidR="00E17893">
        <w:rPr>
          <w:rFonts w:ascii="Arial" w:eastAsia="Arial" w:hAnsi="Arial" w:cs="Arial"/>
        </w:rPr>
        <w:t xml:space="preserve"> </w:t>
      </w:r>
      <w:r w:rsidR="00E17893" w:rsidRPr="00E17893">
        <w:rPr>
          <w:rFonts w:ascii="Arial" w:eastAsia="Arial" w:hAnsi="Arial" w:cs="Arial"/>
        </w:rPr>
        <w:t>20224796367</w:t>
      </w:r>
      <w:r>
        <w:rPr>
          <w:rFonts w:ascii="Arial" w:eastAsia="Arial" w:hAnsi="Arial" w:cs="Arial"/>
        </w:rPr>
        <w:t>, de conformidad con sus reglamentos, directivas y notas prácticas vigentes, a los cuales las partes se someten libremente, señalando que el laudo que se emita en el proceso será inapelable y definitivo.”</w:t>
      </w:r>
    </w:p>
    <w:p w14:paraId="0046A32B" w14:textId="77777777" w:rsidR="00CD23AE" w:rsidRDefault="00CD23AE">
      <w:pPr>
        <w:pBdr>
          <w:top w:val="nil"/>
          <w:left w:val="nil"/>
          <w:bottom w:val="nil"/>
          <w:right w:val="nil"/>
          <w:between w:val="nil"/>
        </w:pBdr>
        <w:spacing w:before="43"/>
        <w:jc w:val="both"/>
        <w:rPr>
          <w:rFonts w:ascii="Arial" w:eastAsia="Arial" w:hAnsi="Arial" w:cs="Arial"/>
        </w:rPr>
      </w:pPr>
    </w:p>
    <w:p w14:paraId="30EE5CC6" w14:textId="77777777" w:rsidR="00CD23AE" w:rsidRDefault="00127FFC" w:rsidP="005E41D0">
      <w:pPr>
        <w:pStyle w:val="Ttulo6"/>
        <w:jc w:val="both"/>
        <w:rPr>
          <w:rFonts w:ascii="Arial" w:eastAsia="Arial" w:hAnsi="Arial" w:cs="Arial"/>
          <w:sz w:val="22"/>
          <w:szCs w:val="22"/>
        </w:rPr>
      </w:pPr>
      <w:r>
        <w:rPr>
          <w:rFonts w:ascii="Arial" w:eastAsia="Arial" w:hAnsi="Arial" w:cs="Arial"/>
          <w:sz w:val="22"/>
          <w:szCs w:val="22"/>
        </w:rPr>
        <w:t>DÉCIMA SEGUNDA:</w:t>
      </w:r>
    </w:p>
    <w:p w14:paraId="4369DB97" w14:textId="77777777" w:rsidR="00CD23AE" w:rsidRDefault="00127FFC">
      <w:pPr>
        <w:pBdr>
          <w:top w:val="nil"/>
          <w:left w:val="nil"/>
          <w:bottom w:val="nil"/>
          <w:right w:val="nil"/>
          <w:between w:val="nil"/>
        </w:pBdr>
        <w:spacing w:before="110"/>
        <w:ind w:left="482"/>
        <w:jc w:val="both"/>
        <w:rPr>
          <w:rFonts w:ascii="Arial" w:eastAsia="Arial" w:hAnsi="Arial" w:cs="Arial"/>
        </w:rPr>
      </w:pPr>
      <w:r>
        <w:rPr>
          <w:rFonts w:ascii="Arial" w:eastAsia="Arial" w:hAnsi="Arial" w:cs="Arial"/>
        </w:rPr>
        <w:t>Cualquier referencia a las denominaciones, “Centro de Arbitraje CENTRO DE ARBITRAJE, PERITAJE Y JUNTA DE RESOLUCION DE DISPUTAS DEL CIP - UCAYALI”, “CENTRO DE ARBITRAJE, PERITAJE Y JUNTA DE RESOLUCION DE DISPUTAS DEL CIP - UCAYALI”, o cualquier denominación a una institución arbitral que use el término “American Center”, contenida en un convenio arbitral o acto jurídico en general, se entiende hecha como CENTRO DE ARBITRAJE, PERITAJE Y JUNTA DE RESOLUCION DE DISPUTAS DEL CIP - UCAYALI</w:t>
      </w:r>
    </w:p>
    <w:p w14:paraId="4F1A18E8" w14:textId="77777777" w:rsidR="00CD23AE" w:rsidRDefault="00CD23AE">
      <w:pPr>
        <w:pBdr>
          <w:top w:val="nil"/>
          <w:left w:val="nil"/>
          <w:bottom w:val="nil"/>
          <w:right w:val="nil"/>
          <w:between w:val="nil"/>
        </w:pBdr>
        <w:spacing w:before="110"/>
        <w:ind w:left="482"/>
        <w:jc w:val="both"/>
        <w:rPr>
          <w:rFonts w:ascii="Arial" w:eastAsia="Arial" w:hAnsi="Arial" w:cs="Arial"/>
        </w:rPr>
      </w:pPr>
    </w:p>
    <w:p w14:paraId="373A4915" w14:textId="77777777" w:rsidR="00CD23AE" w:rsidRDefault="00127FFC" w:rsidP="005E41D0">
      <w:pPr>
        <w:pStyle w:val="Ttulo6"/>
        <w:jc w:val="both"/>
        <w:rPr>
          <w:rFonts w:ascii="Arial" w:eastAsia="Arial" w:hAnsi="Arial" w:cs="Arial"/>
          <w:sz w:val="22"/>
          <w:szCs w:val="22"/>
        </w:rPr>
      </w:pPr>
      <w:r>
        <w:rPr>
          <w:rFonts w:ascii="Arial" w:eastAsia="Arial" w:hAnsi="Arial" w:cs="Arial"/>
          <w:sz w:val="22"/>
          <w:szCs w:val="22"/>
        </w:rPr>
        <w:t>DÉCIMA TERCERA:</w:t>
      </w:r>
    </w:p>
    <w:p w14:paraId="52128B6F" w14:textId="77777777" w:rsidR="00CD23AE" w:rsidRDefault="00127FFC">
      <w:pPr>
        <w:pBdr>
          <w:top w:val="nil"/>
          <w:left w:val="nil"/>
          <w:bottom w:val="nil"/>
          <w:right w:val="nil"/>
          <w:between w:val="nil"/>
        </w:pBdr>
        <w:spacing w:before="110" w:line="273" w:lineRule="auto"/>
        <w:ind w:left="482" w:right="197"/>
        <w:jc w:val="both"/>
        <w:rPr>
          <w:rFonts w:ascii="Arial" w:eastAsia="Arial" w:hAnsi="Arial" w:cs="Arial"/>
        </w:rPr>
      </w:pPr>
      <w:r>
        <w:rPr>
          <w:rFonts w:ascii="Arial" w:eastAsia="Arial" w:hAnsi="Arial" w:cs="Arial"/>
        </w:rPr>
        <w:t>EL Tribunal Arbitral podrá ampliar los plazos procesales a su discreción respetando el debido procedimiento y derecho de defensa de las partes.</w:t>
      </w:r>
    </w:p>
    <w:p w14:paraId="14818C90" w14:textId="77777777" w:rsidR="005E41D0" w:rsidRDefault="005E41D0">
      <w:pPr>
        <w:pBdr>
          <w:top w:val="nil"/>
          <w:left w:val="nil"/>
          <w:bottom w:val="nil"/>
          <w:right w:val="nil"/>
          <w:between w:val="nil"/>
        </w:pBdr>
        <w:spacing w:before="49"/>
        <w:jc w:val="both"/>
        <w:rPr>
          <w:rFonts w:ascii="Arial" w:eastAsia="Arial" w:hAnsi="Arial" w:cs="Arial"/>
        </w:rPr>
      </w:pPr>
    </w:p>
    <w:p w14:paraId="69A8B4CD" w14:textId="77777777" w:rsidR="00CD23AE" w:rsidRDefault="00127FFC" w:rsidP="005E41D0">
      <w:pPr>
        <w:pStyle w:val="Ttulo6"/>
        <w:jc w:val="both"/>
        <w:rPr>
          <w:rFonts w:ascii="Arial" w:eastAsia="Arial" w:hAnsi="Arial" w:cs="Arial"/>
          <w:sz w:val="22"/>
          <w:szCs w:val="22"/>
        </w:rPr>
      </w:pPr>
      <w:r>
        <w:rPr>
          <w:rFonts w:ascii="Arial" w:eastAsia="Arial" w:hAnsi="Arial" w:cs="Arial"/>
          <w:sz w:val="22"/>
          <w:szCs w:val="22"/>
        </w:rPr>
        <w:t>DÉCIMA CUARTA:</w:t>
      </w:r>
    </w:p>
    <w:p w14:paraId="082CF9FD" w14:textId="3F99EE86" w:rsidR="00CD23AE" w:rsidRDefault="00127FFC">
      <w:pPr>
        <w:pBdr>
          <w:top w:val="nil"/>
          <w:left w:val="nil"/>
          <w:bottom w:val="nil"/>
          <w:right w:val="nil"/>
          <w:between w:val="nil"/>
        </w:pBdr>
        <w:spacing w:before="110" w:line="273" w:lineRule="auto"/>
        <w:ind w:left="482" w:right="198"/>
        <w:jc w:val="both"/>
        <w:rPr>
          <w:rFonts w:ascii="Arial" w:eastAsia="Arial" w:hAnsi="Arial" w:cs="Arial"/>
        </w:rPr>
      </w:pPr>
      <w:r>
        <w:rPr>
          <w:rFonts w:ascii="Arial" w:eastAsia="Arial" w:hAnsi="Arial" w:cs="Arial"/>
        </w:rPr>
        <w:t>Las Directivas y Notas Prácticas que se emitan por el Consejo Superior de Arbitraje del Centro deberán ser cumplidas por la Secretaría General y por las partes interesadas en los asuntos que estos documentos contengan.</w:t>
      </w:r>
    </w:p>
    <w:p w14:paraId="0F607322" w14:textId="77777777" w:rsidR="00B00FE6" w:rsidRDefault="00B00FE6">
      <w:pPr>
        <w:pBdr>
          <w:top w:val="nil"/>
          <w:left w:val="nil"/>
          <w:bottom w:val="nil"/>
          <w:right w:val="nil"/>
          <w:between w:val="nil"/>
        </w:pBdr>
        <w:spacing w:before="110" w:line="273" w:lineRule="auto"/>
        <w:ind w:left="482" w:right="198"/>
        <w:jc w:val="both"/>
        <w:rPr>
          <w:rFonts w:ascii="Arial" w:eastAsia="Arial" w:hAnsi="Arial" w:cs="Arial"/>
        </w:rPr>
      </w:pPr>
    </w:p>
    <w:p w14:paraId="407F0666" w14:textId="77777777" w:rsidR="00CD23AE" w:rsidRDefault="00CD23AE">
      <w:pPr>
        <w:pBdr>
          <w:top w:val="nil"/>
          <w:left w:val="nil"/>
          <w:bottom w:val="nil"/>
          <w:right w:val="nil"/>
          <w:between w:val="nil"/>
        </w:pBdr>
        <w:spacing w:before="37"/>
        <w:jc w:val="both"/>
        <w:rPr>
          <w:rFonts w:ascii="Arial" w:eastAsia="Arial" w:hAnsi="Arial" w:cs="Arial"/>
          <w:color w:val="000000"/>
        </w:rPr>
      </w:pPr>
    </w:p>
    <w:p w14:paraId="64254654" w14:textId="77777777" w:rsidR="00CD23AE" w:rsidRDefault="00127FFC">
      <w:pPr>
        <w:pStyle w:val="Ttulo2"/>
        <w:ind w:left="283"/>
        <w:jc w:val="center"/>
        <w:rPr>
          <w:rFonts w:ascii="Arial" w:eastAsia="Arial" w:hAnsi="Arial" w:cs="Arial"/>
          <w:b/>
          <w:color w:val="E80303"/>
          <w:sz w:val="26"/>
          <w:szCs w:val="26"/>
        </w:rPr>
      </w:pPr>
      <w:r>
        <w:rPr>
          <w:rFonts w:ascii="Arial" w:eastAsia="Arial" w:hAnsi="Arial" w:cs="Arial"/>
          <w:b/>
          <w:color w:val="E80303"/>
          <w:sz w:val="26"/>
          <w:szCs w:val="26"/>
        </w:rPr>
        <w:lastRenderedPageBreak/>
        <w:t>DISPOSICIÓN COMPLEMENTARIA TRANSITORIA</w:t>
      </w:r>
    </w:p>
    <w:p w14:paraId="0507E51A" w14:textId="77777777" w:rsidR="00CD23AE" w:rsidRDefault="00127FFC" w:rsidP="005E41D0">
      <w:pPr>
        <w:pStyle w:val="Ttulo6"/>
        <w:spacing w:before="192"/>
        <w:jc w:val="both"/>
        <w:rPr>
          <w:rFonts w:ascii="Arial" w:eastAsia="Arial" w:hAnsi="Arial" w:cs="Arial"/>
          <w:sz w:val="22"/>
          <w:szCs w:val="22"/>
        </w:rPr>
      </w:pPr>
      <w:r>
        <w:rPr>
          <w:rFonts w:ascii="Arial" w:eastAsia="Arial" w:hAnsi="Arial" w:cs="Arial"/>
          <w:sz w:val="22"/>
          <w:szCs w:val="22"/>
        </w:rPr>
        <w:t>PRIMERA</w:t>
      </w:r>
    </w:p>
    <w:p w14:paraId="1AECCF18" w14:textId="77777777" w:rsidR="00CD23AE" w:rsidRDefault="00127FFC">
      <w:pPr>
        <w:pBdr>
          <w:top w:val="nil"/>
          <w:left w:val="nil"/>
          <w:bottom w:val="nil"/>
          <w:right w:val="nil"/>
          <w:between w:val="nil"/>
        </w:pBdr>
        <w:spacing w:before="115" w:line="273" w:lineRule="auto"/>
        <w:ind w:left="513" w:right="166"/>
        <w:jc w:val="both"/>
        <w:rPr>
          <w:rFonts w:ascii="Arial" w:eastAsia="Arial" w:hAnsi="Arial" w:cs="Arial"/>
          <w:color w:val="000000"/>
        </w:rPr>
      </w:pPr>
      <w:r>
        <w:rPr>
          <w:rFonts w:ascii="Arial" w:eastAsia="Arial" w:hAnsi="Arial" w:cs="Arial"/>
          <w:color w:val="000000"/>
        </w:rPr>
        <w:t>Los arbitrajes iniciados antes de la entrada en vigencia del presente Reglamento, se regirán por el reglamento vigente al momento de la fecha de la presentación de la solicitud de arbitraje. Contrario sensu, los arbitrajes iniciados con posterioridad a la entrada en vigencia del presente Reglamento se regirán por el mismo.</w:t>
      </w:r>
    </w:p>
    <w:sectPr w:rsidR="00CD23AE">
      <w:headerReference w:type="default" r:id="rId27"/>
      <w:footerReference w:type="default" r:id="rId28"/>
      <w:pgSz w:w="11910" w:h="16850"/>
      <w:pgMar w:top="1436" w:right="992" w:bottom="948" w:left="70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63DBA" w14:textId="77777777" w:rsidR="0000778F" w:rsidRDefault="0000778F">
      <w:r>
        <w:separator/>
      </w:r>
    </w:p>
  </w:endnote>
  <w:endnote w:type="continuationSeparator" w:id="0">
    <w:p w14:paraId="6E066771" w14:textId="77777777" w:rsidR="0000778F" w:rsidRDefault="00007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83442" w14:textId="77777777" w:rsidR="00CD23AE" w:rsidRDefault="00CD23AE">
    <w:pPr>
      <w:pBdr>
        <w:top w:val="nil"/>
        <w:left w:val="nil"/>
        <w:bottom w:val="nil"/>
        <w:right w:val="nil"/>
        <w:between w:val="nil"/>
      </w:pBdr>
      <w:spacing w:line="14" w:lineRule="auto"/>
      <w:rPr>
        <w:color w:val="000000"/>
        <w:sz w:val="20"/>
        <w:szCs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D069D" w14:textId="77777777" w:rsidR="00CD23AE" w:rsidRDefault="00CD23AE">
    <w:pPr>
      <w:pBdr>
        <w:top w:val="nil"/>
        <w:left w:val="nil"/>
        <w:bottom w:val="nil"/>
        <w:right w:val="nil"/>
        <w:between w:val="nil"/>
      </w:pBdr>
      <w:spacing w:line="14" w:lineRule="auto"/>
      <w:rPr>
        <w:color w:val="000000"/>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BD1F4" w14:textId="77777777" w:rsidR="00CD23AE" w:rsidRDefault="00CD23AE">
    <w:pPr>
      <w:pBdr>
        <w:top w:val="nil"/>
        <w:left w:val="nil"/>
        <w:bottom w:val="nil"/>
        <w:right w:val="nil"/>
        <w:between w:val="nil"/>
      </w:pBdr>
      <w:spacing w:line="14" w:lineRule="auto"/>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182A1" w14:textId="77777777" w:rsidR="00CD23AE" w:rsidRDefault="00CD23AE">
    <w:pPr>
      <w:pBdr>
        <w:top w:val="nil"/>
        <w:left w:val="nil"/>
        <w:bottom w:val="nil"/>
        <w:right w:val="nil"/>
        <w:between w:val="nil"/>
      </w:pBdr>
      <w:spacing w:line="14" w:lineRule="auto"/>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B230D" w14:textId="77777777" w:rsidR="00CD23AE" w:rsidRDefault="00CD23AE">
    <w:pPr>
      <w:pBdr>
        <w:top w:val="nil"/>
        <w:left w:val="nil"/>
        <w:bottom w:val="nil"/>
        <w:right w:val="nil"/>
        <w:between w:val="nil"/>
      </w:pBdr>
      <w:spacing w:line="14" w:lineRule="auto"/>
      <w:rPr>
        <w:color w:val="000000"/>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E97E2" w14:textId="77777777" w:rsidR="00CD23AE" w:rsidRDefault="00CD23AE">
    <w:pPr>
      <w:pBdr>
        <w:top w:val="nil"/>
        <w:left w:val="nil"/>
        <w:bottom w:val="nil"/>
        <w:right w:val="nil"/>
        <w:between w:val="nil"/>
      </w:pBdr>
      <w:spacing w:line="14" w:lineRule="auto"/>
      <w:rPr>
        <w:color w:val="000000"/>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D7830" w14:textId="77777777" w:rsidR="00CD23AE" w:rsidRDefault="00CD23AE">
    <w:pPr>
      <w:pBdr>
        <w:top w:val="nil"/>
        <w:left w:val="nil"/>
        <w:bottom w:val="nil"/>
        <w:right w:val="nil"/>
        <w:between w:val="nil"/>
      </w:pBdr>
      <w:spacing w:line="14" w:lineRule="auto"/>
      <w:rPr>
        <w:color w:val="000000"/>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710D1" w14:textId="77777777" w:rsidR="00CD23AE" w:rsidRDefault="00CD23AE">
    <w:pPr>
      <w:pBdr>
        <w:top w:val="nil"/>
        <w:left w:val="nil"/>
        <w:bottom w:val="nil"/>
        <w:right w:val="nil"/>
        <w:between w:val="nil"/>
      </w:pBdr>
      <w:spacing w:line="14" w:lineRule="auto"/>
      <w:rPr>
        <w:color w:val="000000"/>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39C5E" w14:textId="77777777" w:rsidR="00CD23AE" w:rsidRDefault="00CD23AE">
    <w:pPr>
      <w:pBdr>
        <w:top w:val="nil"/>
        <w:left w:val="nil"/>
        <w:bottom w:val="nil"/>
        <w:right w:val="nil"/>
        <w:between w:val="nil"/>
      </w:pBdr>
      <w:spacing w:line="14" w:lineRule="auto"/>
      <w:rPr>
        <w:color w:val="000000"/>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61B3" w14:textId="77777777" w:rsidR="00CD23AE" w:rsidRDefault="00CD23AE">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97A29" w14:textId="77777777" w:rsidR="0000778F" w:rsidRDefault="0000778F">
      <w:r>
        <w:separator/>
      </w:r>
    </w:p>
  </w:footnote>
  <w:footnote w:type="continuationSeparator" w:id="0">
    <w:p w14:paraId="69DC5664" w14:textId="77777777" w:rsidR="0000778F" w:rsidRDefault="00007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F79EB" w14:textId="77777777" w:rsidR="00CD23AE" w:rsidRDefault="00127FFC">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s">
          <w:drawing>
            <wp:anchor distT="0" distB="0" distL="0" distR="0" simplePos="0" relativeHeight="251658240" behindDoc="1" locked="0" layoutInCell="1" hidden="0" allowOverlap="1" wp14:anchorId="49F161BC" wp14:editId="4C3F3426">
              <wp:simplePos x="0" y="0"/>
              <wp:positionH relativeFrom="page">
                <wp:posOffset>4964525</wp:posOffset>
              </wp:positionH>
              <wp:positionV relativeFrom="page">
                <wp:posOffset>464608</wp:posOffset>
              </wp:positionV>
              <wp:extent cx="1864360" cy="319405"/>
              <wp:effectExtent l="0" t="0" r="0" b="0"/>
              <wp:wrapNone/>
              <wp:docPr id="26" name="Rectángulo 26"/>
              <wp:cNvGraphicFramePr/>
              <a:graphic xmlns:a="http://schemas.openxmlformats.org/drawingml/2006/main">
                <a:graphicData uri="http://schemas.microsoft.com/office/word/2010/wordprocessingShape">
                  <wps:wsp>
                    <wps:cNvSpPr/>
                    <wps:spPr>
                      <a:xfrm>
                        <a:off x="4423345" y="3629823"/>
                        <a:ext cx="1845310" cy="300355"/>
                      </a:xfrm>
                      <a:prstGeom prst="rect">
                        <a:avLst/>
                      </a:prstGeom>
                      <a:noFill/>
                      <a:ln>
                        <a:noFill/>
                      </a:ln>
                    </wps:spPr>
                    <wps:txbx>
                      <w:txbxContent>
                        <w:p w14:paraId="3D63B44D" w14:textId="77777777" w:rsidR="00CD23AE" w:rsidRDefault="00CD23AE">
                          <w:pPr>
                            <w:spacing w:before="35" w:line="210" w:lineRule="auto"/>
                            <w:ind w:left="20" w:right="17" w:firstLine="40"/>
                            <w:textDirection w:val="btLr"/>
                          </w:pPr>
                        </w:p>
                      </w:txbxContent>
                    </wps:txbx>
                    <wps:bodyPr spcFirstLastPara="1" wrap="square" lIns="0" tIns="0" rIns="0" bIns="0" anchor="t" anchorCtr="0">
                      <a:noAutofit/>
                    </wps:bodyPr>
                  </wps:wsp>
                </a:graphicData>
              </a:graphic>
            </wp:anchor>
          </w:drawing>
        </mc:Choice>
        <mc:Fallback>
          <w:pict>
            <v:rect w14:anchorId="49F161BC" id="Rectángulo 26" o:spid="_x0000_s1026" style="position:absolute;margin-left:390.9pt;margin-top:36.6pt;width:146.8pt;height:25.1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" filled="f" stroked="f">
              <v:textbox inset="0,0,0,0">
                <w:txbxContent>
                  <w:p w14:paraId="3D63B44D" w14:textId="77777777" w:rsidR="00CD23AE" w:rsidRDefault="00CD23AE">
                    <w:pPr>
                      <w:spacing w:before="35" w:line="210" w:lineRule="auto"/>
                      <w:ind w:left="20" w:right="17" w:firstLine="40"/>
                      <w:textDirection w:val="btLr"/>
                    </w:pPr>
                  </w:p>
                </w:txbxContent>
              </v:textbox>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473C4" w14:textId="77777777" w:rsidR="00CD23AE" w:rsidRDefault="00127FFC">
    <w:pPr>
      <w:pBdr>
        <w:top w:val="nil"/>
        <w:left w:val="nil"/>
        <w:bottom w:val="nil"/>
        <w:right w:val="nil"/>
        <w:between w:val="nil"/>
      </w:pBdr>
      <w:spacing w:line="14" w:lineRule="auto"/>
      <w:rPr>
        <w:color w:val="000000"/>
        <w:sz w:val="2"/>
        <w:szCs w:val="2"/>
      </w:rPr>
    </w:pPr>
    <w:r>
      <w:rPr>
        <w:noProof/>
      </w:rPr>
      <w:drawing>
        <wp:anchor distT="114300" distB="114300" distL="114300" distR="114300" simplePos="0" relativeHeight="251667456" behindDoc="0" locked="0" layoutInCell="1" hidden="0" allowOverlap="1" wp14:anchorId="1D76B5A0" wp14:editId="6E228560">
          <wp:simplePos x="0" y="0"/>
          <wp:positionH relativeFrom="column">
            <wp:posOffset>5452745</wp:posOffset>
          </wp:positionH>
          <wp:positionV relativeFrom="paragraph">
            <wp:posOffset>114300</wp:posOffset>
          </wp:positionV>
          <wp:extent cx="1395730" cy="800100"/>
          <wp:effectExtent l="0" t="0" r="0" b="0"/>
          <wp:wrapNone/>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t="22481" b="20603"/>
                  <a:stretch>
                    <a:fillRect/>
                  </a:stretch>
                </pic:blipFill>
                <pic:spPr>
                  <a:xfrm>
                    <a:off x="0" y="0"/>
                    <a:ext cx="1395730" cy="8001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C5D3C" w14:textId="77777777" w:rsidR="00CD23AE" w:rsidRDefault="00127FFC">
    <w:pPr>
      <w:pBdr>
        <w:top w:val="nil"/>
        <w:left w:val="nil"/>
        <w:bottom w:val="nil"/>
        <w:right w:val="nil"/>
        <w:between w:val="nil"/>
      </w:pBdr>
      <w:spacing w:line="14" w:lineRule="auto"/>
      <w:rPr>
        <w:color w:val="000000"/>
        <w:sz w:val="2"/>
        <w:szCs w:val="2"/>
      </w:rPr>
    </w:pPr>
    <w:r>
      <w:rPr>
        <w:noProof/>
      </w:rPr>
      <w:drawing>
        <wp:anchor distT="114300" distB="114300" distL="114300" distR="114300" simplePos="0" relativeHeight="251659264" behindDoc="0" locked="0" layoutInCell="1" hidden="0" allowOverlap="1" wp14:anchorId="2FC08141" wp14:editId="072B603A">
          <wp:simplePos x="0" y="0"/>
          <wp:positionH relativeFrom="column">
            <wp:posOffset>4762500</wp:posOffset>
          </wp:positionH>
          <wp:positionV relativeFrom="paragraph">
            <wp:posOffset>133350</wp:posOffset>
          </wp:positionV>
          <wp:extent cx="1660891" cy="966788"/>
          <wp:effectExtent l="0" t="0" r="0" b="0"/>
          <wp:wrapNone/>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t="22634" b="19288"/>
                  <a:stretch>
                    <a:fillRect/>
                  </a:stretch>
                </pic:blipFill>
                <pic:spPr>
                  <a:xfrm>
                    <a:off x="0" y="0"/>
                    <a:ext cx="1660891" cy="96678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D0B0F" w14:textId="77777777" w:rsidR="00CD23AE" w:rsidRDefault="00127FFC">
    <w:pPr>
      <w:pBdr>
        <w:top w:val="nil"/>
        <w:left w:val="nil"/>
        <w:bottom w:val="nil"/>
        <w:right w:val="nil"/>
        <w:between w:val="nil"/>
      </w:pBdr>
      <w:spacing w:line="14" w:lineRule="auto"/>
      <w:rPr>
        <w:color w:val="000000"/>
        <w:sz w:val="20"/>
        <w:szCs w:val="20"/>
      </w:rPr>
    </w:pPr>
    <w:r>
      <w:rPr>
        <w:noProof/>
      </w:rPr>
      <w:drawing>
        <wp:anchor distT="114300" distB="114300" distL="114300" distR="114300" simplePos="0" relativeHeight="251660288" behindDoc="0" locked="0" layoutInCell="1" hidden="0" allowOverlap="1" wp14:anchorId="26173ABB" wp14:editId="6434F179">
          <wp:simplePos x="0" y="0"/>
          <wp:positionH relativeFrom="column">
            <wp:posOffset>5478780</wp:posOffset>
          </wp:positionH>
          <wp:positionV relativeFrom="paragraph">
            <wp:posOffset>-325119</wp:posOffset>
          </wp:positionV>
          <wp:extent cx="1488757" cy="833330"/>
          <wp:effectExtent l="0" t="0" r="0" b="0"/>
          <wp:wrapNone/>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23068" b="21225"/>
                  <a:stretch>
                    <a:fillRect/>
                  </a:stretch>
                </pic:blipFill>
                <pic:spPr>
                  <a:xfrm>
                    <a:off x="0" y="0"/>
                    <a:ext cx="1488757" cy="833330"/>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A9DFB" w14:textId="77777777" w:rsidR="00CD23AE" w:rsidRDefault="00127FFC">
    <w:pPr>
      <w:pBdr>
        <w:top w:val="nil"/>
        <w:left w:val="nil"/>
        <w:bottom w:val="nil"/>
        <w:right w:val="nil"/>
        <w:between w:val="nil"/>
      </w:pBdr>
      <w:spacing w:line="14" w:lineRule="auto"/>
      <w:rPr>
        <w:color w:val="000000"/>
        <w:sz w:val="2"/>
        <w:szCs w:val="2"/>
      </w:rPr>
    </w:pPr>
    <w:r>
      <w:rPr>
        <w:noProof/>
      </w:rPr>
      <w:drawing>
        <wp:anchor distT="114300" distB="114300" distL="114300" distR="114300" simplePos="0" relativeHeight="251661312" behindDoc="0" locked="0" layoutInCell="1" hidden="0" allowOverlap="1" wp14:anchorId="5E208B1E" wp14:editId="2185E7C6">
          <wp:simplePos x="0" y="0"/>
          <wp:positionH relativeFrom="column">
            <wp:posOffset>5449810</wp:posOffset>
          </wp:positionH>
          <wp:positionV relativeFrom="paragraph">
            <wp:posOffset>114300</wp:posOffset>
          </wp:positionV>
          <wp:extent cx="1465340" cy="828675"/>
          <wp:effectExtent l="0" t="0" r="0" b="0"/>
          <wp:wrapNone/>
          <wp:docPr id="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t="21948" b="21837"/>
                  <a:stretch>
                    <a:fillRect/>
                  </a:stretch>
                </pic:blipFill>
                <pic:spPr>
                  <a:xfrm>
                    <a:off x="0" y="0"/>
                    <a:ext cx="1465340" cy="828675"/>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CC7FD" w14:textId="77777777" w:rsidR="00CD23AE" w:rsidRDefault="00127FFC">
    <w:pPr>
      <w:pBdr>
        <w:top w:val="nil"/>
        <w:left w:val="nil"/>
        <w:bottom w:val="nil"/>
        <w:right w:val="nil"/>
        <w:between w:val="nil"/>
      </w:pBdr>
      <w:spacing w:line="14" w:lineRule="auto"/>
      <w:rPr>
        <w:color w:val="000000"/>
        <w:sz w:val="2"/>
        <w:szCs w:val="2"/>
      </w:rPr>
    </w:pPr>
    <w:r>
      <w:rPr>
        <w:noProof/>
      </w:rPr>
      <w:drawing>
        <wp:anchor distT="114300" distB="114300" distL="114300" distR="114300" simplePos="0" relativeHeight="251662336" behindDoc="0" locked="0" layoutInCell="1" hidden="0" allowOverlap="1" wp14:anchorId="291963A8" wp14:editId="4E10FDDF">
          <wp:simplePos x="0" y="0"/>
          <wp:positionH relativeFrom="column">
            <wp:posOffset>5395913</wp:posOffset>
          </wp:positionH>
          <wp:positionV relativeFrom="paragraph">
            <wp:posOffset>190500</wp:posOffset>
          </wp:positionV>
          <wp:extent cx="1502543" cy="828675"/>
          <wp:effectExtent l="0" t="0" r="0" b="0"/>
          <wp:wrapNone/>
          <wp:docPr id="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t="23545" b="21370"/>
                  <a:stretch>
                    <a:fillRect/>
                  </a:stretch>
                </pic:blipFill>
                <pic:spPr>
                  <a:xfrm>
                    <a:off x="0" y="0"/>
                    <a:ext cx="1502543" cy="828675"/>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557A" w14:textId="77777777" w:rsidR="00CD23AE" w:rsidRDefault="00127FFC">
    <w:pPr>
      <w:pBdr>
        <w:top w:val="nil"/>
        <w:left w:val="nil"/>
        <w:bottom w:val="nil"/>
        <w:right w:val="nil"/>
        <w:between w:val="nil"/>
      </w:pBdr>
      <w:spacing w:line="14" w:lineRule="auto"/>
      <w:rPr>
        <w:color w:val="000000"/>
        <w:sz w:val="20"/>
        <w:szCs w:val="20"/>
      </w:rPr>
    </w:pPr>
    <w:r>
      <w:rPr>
        <w:noProof/>
      </w:rPr>
      <w:drawing>
        <wp:anchor distT="114300" distB="114300" distL="114300" distR="114300" simplePos="0" relativeHeight="251663360" behindDoc="0" locked="0" layoutInCell="1" hidden="0" allowOverlap="1" wp14:anchorId="7CE825AE" wp14:editId="70FA83F6">
          <wp:simplePos x="0" y="0"/>
          <wp:positionH relativeFrom="column">
            <wp:posOffset>5400675</wp:posOffset>
          </wp:positionH>
          <wp:positionV relativeFrom="paragraph">
            <wp:posOffset>-295274</wp:posOffset>
          </wp:positionV>
          <wp:extent cx="1502543" cy="828675"/>
          <wp:effectExtent l="0" t="0" r="0" b="0"/>
          <wp:wrapNone/>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t="23545" b="21370"/>
                  <a:stretch>
                    <a:fillRect/>
                  </a:stretch>
                </pic:blipFill>
                <pic:spPr>
                  <a:xfrm>
                    <a:off x="0" y="0"/>
                    <a:ext cx="1502543" cy="828675"/>
                  </a:xfrm>
                  <a:prstGeom prst="rect">
                    <a:avLst/>
                  </a:prstGeom>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18E68" w14:textId="77777777" w:rsidR="00CD23AE" w:rsidRDefault="00127FFC">
    <w:pPr>
      <w:pBdr>
        <w:top w:val="nil"/>
        <w:left w:val="nil"/>
        <w:bottom w:val="nil"/>
        <w:right w:val="nil"/>
        <w:between w:val="nil"/>
      </w:pBdr>
      <w:spacing w:line="14" w:lineRule="auto"/>
      <w:rPr>
        <w:color w:val="000000"/>
        <w:sz w:val="2"/>
        <w:szCs w:val="2"/>
      </w:rPr>
    </w:pPr>
    <w:r>
      <w:rPr>
        <w:noProof/>
      </w:rPr>
      <w:drawing>
        <wp:anchor distT="114300" distB="114300" distL="114300" distR="114300" simplePos="0" relativeHeight="251664384" behindDoc="0" locked="0" layoutInCell="1" hidden="0" allowOverlap="1" wp14:anchorId="55A56908" wp14:editId="45BB2AB4">
          <wp:simplePos x="0" y="0"/>
          <wp:positionH relativeFrom="column">
            <wp:posOffset>5448300</wp:posOffset>
          </wp:positionH>
          <wp:positionV relativeFrom="paragraph">
            <wp:posOffset>114300</wp:posOffset>
          </wp:positionV>
          <wp:extent cx="1454785" cy="828675"/>
          <wp:effectExtent l="0" t="0" r="0" b="0"/>
          <wp:wrapNone/>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t="21235" b="21980"/>
                  <a:stretch>
                    <a:fillRect/>
                  </a:stretch>
                </pic:blipFill>
                <pic:spPr>
                  <a:xfrm>
                    <a:off x="0" y="0"/>
                    <a:ext cx="1454785" cy="828675"/>
                  </a:xfrm>
                  <a:prstGeom prst="rect">
                    <a:avLst/>
                  </a:prstGeom>
                  <a:ln/>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3A657" w14:textId="77777777" w:rsidR="00CD23AE" w:rsidRDefault="00127FFC">
    <w:pPr>
      <w:pBdr>
        <w:top w:val="nil"/>
        <w:left w:val="nil"/>
        <w:bottom w:val="nil"/>
        <w:right w:val="nil"/>
        <w:between w:val="nil"/>
      </w:pBdr>
      <w:spacing w:line="14" w:lineRule="auto"/>
      <w:rPr>
        <w:color w:val="000000"/>
        <w:sz w:val="2"/>
        <w:szCs w:val="2"/>
      </w:rPr>
    </w:pPr>
    <w:r>
      <w:rPr>
        <w:noProof/>
      </w:rPr>
      <w:drawing>
        <wp:anchor distT="114300" distB="114300" distL="114300" distR="114300" simplePos="0" relativeHeight="251665408" behindDoc="0" locked="0" layoutInCell="1" hidden="0" allowOverlap="1" wp14:anchorId="38620A37" wp14:editId="242EBD1E">
          <wp:simplePos x="0" y="0"/>
          <wp:positionH relativeFrom="column">
            <wp:posOffset>5429250</wp:posOffset>
          </wp:positionH>
          <wp:positionV relativeFrom="paragraph">
            <wp:posOffset>147320</wp:posOffset>
          </wp:positionV>
          <wp:extent cx="1473508" cy="803928"/>
          <wp:effectExtent l="0" t="0" r="0" b="0"/>
          <wp:wrapNone/>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23107" b="22333"/>
                  <a:stretch>
                    <a:fillRect/>
                  </a:stretch>
                </pic:blipFill>
                <pic:spPr>
                  <a:xfrm>
                    <a:off x="0" y="0"/>
                    <a:ext cx="1473508" cy="803928"/>
                  </a:xfrm>
                  <a:prstGeom prst="rect">
                    <a:avLst/>
                  </a:prstGeom>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A5208" w14:textId="77777777" w:rsidR="00CD23AE" w:rsidRDefault="00127FFC">
    <w:pPr>
      <w:pBdr>
        <w:top w:val="nil"/>
        <w:left w:val="nil"/>
        <w:bottom w:val="nil"/>
        <w:right w:val="nil"/>
        <w:between w:val="nil"/>
      </w:pBdr>
      <w:spacing w:line="14" w:lineRule="auto"/>
      <w:rPr>
        <w:color w:val="000000"/>
        <w:sz w:val="2"/>
        <w:szCs w:val="2"/>
      </w:rPr>
    </w:pPr>
    <w:r>
      <w:rPr>
        <w:noProof/>
      </w:rPr>
      <w:drawing>
        <wp:anchor distT="114300" distB="114300" distL="114300" distR="114300" simplePos="0" relativeHeight="251666432" behindDoc="0" locked="0" layoutInCell="1" hidden="0" allowOverlap="1" wp14:anchorId="3019F946" wp14:editId="6F7CAFF1">
          <wp:simplePos x="0" y="0"/>
          <wp:positionH relativeFrom="column">
            <wp:posOffset>5429250</wp:posOffset>
          </wp:positionH>
          <wp:positionV relativeFrom="paragraph">
            <wp:posOffset>114300</wp:posOffset>
          </wp:positionV>
          <wp:extent cx="1418359" cy="800100"/>
          <wp:effectExtent l="0" t="0" r="0" b="0"/>
          <wp:wrapNone/>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t="23358" b="20545"/>
                  <a:stretch>
                    <a:fillRect/>
                  </a:stretch>
                </pic:blipFill>
                <pic:spPr>
                  <a:xfrm>
                    <a:off x="0" y="0"/>
                    <a:ext cx="1418359" cy="800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5BF2"/>
    <w:multiLevelType w:val="multilevel"/>
    <w:tmpl w:val="20DAC29A"/>
    <w:lvl w:ilvl="0">
      <w:start w:val="1"/>
      <w:numFmt w:val="lowerLetter"/>
      <w:lvlText w:val="%1)"/>
      <w:lvlJc w:val="left"/>
      <w:pPr>
        <w:ind w:left="1202" w:hanging="360"/>
      </w:pPr>
    </w:lvl>
    <w:lvl w:ilvl="1">
      <w:start w:val="1"/>
      <w:numFmt w:val="lowerLetter"/>
      <w:lvlText w:val="%2."/>
      <w:lvlJc w:val="left"/>
      <w:pPr>
        <w:ind w:left="1922" w:hanging="360"/>
      </w:pPr>
    </w:lvl>
    <w:lvl w:ilvl="2">
      <w:start w:val="1"/>
      <w:numFmt w:val="lowerRoman"/>
      <w:lvlText w:val="%3."/>
      <w:lvlJc w:val="right"/>
      <w:pPr>
        <w:ind w:left="2642" w:hanging="180"/>
      </w:pPr>
    </w:lvl>
    <w:lvl w:ilvl="3">
      <w:start w:val="1"/>
      <w:numFmt w:val="decimal"/>
      <w:lvlText w:val="%4."/>
      <w:lvlJc w:val="left"/>
      <w:pPr>
        <w:ind w:left="3362" w:hanging="360"/>
      </w:pPr>
    </w:lvl>
    <w:lvl w:ilvl="4">
      <w:start w:val="1"/>
      <w:numFmt w:val="lowerLetter"/>
      <w:lvlText w:val="%5."/>
      <w:lvlJc w:val="left"/>
      <w:pPr>
        <w:ind w:left="4082" w:hanging="360"/>
      </w:pPr>
    </w:lvl>
    <w:lvl w:ilvl="5">
      <w:start w:val="1"/>
      <w:numFmt w:val="lowerRoman"/>
      <w:lvlText w:val="%6."/>
      <w:lvlJc w:val="right"/>
      <w:pPr>
        <w:ind w:left="4802" w:hanging="180"/>
      </w:pPr>
    </w:lvl>
    <w:lvl w:ilvl="6">
      <w:start w:val="1"/>
      <w:numFmt w:val="decimal"/>
      <w:lvlText w:val="%7."/>
      <w:lvlJc w:val="left"/>
      <w:pPr>
        <w:ind w:left="5522" w:hanging="360"/>
      </w:pPr>
    </w:lvl>
    <w:lvl w:ilvl="7">
      <w:start w:val="1"/>
      <w:numFmt w:val="lowerLetter"/>
      <w:lvlText w:val="%8."/>
      <w:lvlJc w:val="left"/>
      <w:pPr>
        <w:ind w:left="6242" w:hanging="360"/>
      </w:pPr>
    </w:lvl>
    <w:lvl w:ilvl="8">
      <w:start w:val="1"/>
      <w:numFmt w:val="lowerRoman"/>
      <w:lvlText w:val="%9."/>
      <w:lvlJc w:val="right"/>
      <w:pPr>
        <w:ind w:left="6962" w:hanging="180"/>
      </w:pPr>
    </w:lvl>
  </w:abstractNum>
  <w:abstractNum w:abstractNumId="1" w15:restartNumberingAfterBreak="0">
    <w:nsid w:val="00740298"/>
    <w:multiLevelType w:val="multilevel"/>
    <w:tmpl w:val="85521A78"/>
    <w:lvl w:ilvl="0">
      <w:start w:val="1"/>
      <w:numFmt w:val="decimal"/>
      <w:lvlText w:val="%1."/>
      <w:lvlJc w:val="left"/>
      <w:pPr>
        <w:ind w:left="506" w:hanging="270"/>
      </w:pPr>
      <w:rPr>
        <w:rFonts w:ascii="Calibri" w:eastAsia="Calibri" w:hAnsi="Calibri" w:cs="Calibri"/>
        <w:b/>
        <w:i w:val="0"/>
        <w:sz w:val="24"/>
        <w:szCs w:val="24"/>
      </w:rPr>
    </w:lvl>
    <w:lvl w:ilvl="1">
      <w:numFmt w:val="bullet"/>
      <w:lvlText w:val="•"/>
      <w:lvlJc w:val="left"/>
      <w:pPr>
        <w:ind w:left="1471" w:hanging="270"/>
      </w:pPr>
    </w:lvl>
    <w:lvl w:ilvl="2">
      <w:numFmt w:val="bullet"/>
      <w:lvlText w:val="•"/>
      <w:lvlJc w:val="left"/>
      <w:pPr>
        <w:ind w:left="2442" w:hanging="270"/>
      </w:pPr>
    </w:lvl>
    <w:lvl w:ilvl="3">
      <w:numFmt w:val="bullet"/>
      <w:lvlText w:val="•"/>
      <w:lvlJc w:val="left"/>
      <w:pPr>
        <w:ind w:left="3413" w:hanging="270"/>
      </w:pPr>
    </w:lvl>
    <w:lvl w:ilvl="4">
      <w:numFmt w:val="bullet"/>
      <w:lvlText w:val="•"/>
      <w:lvlJc w:val="left"/>
      <w:pPr>
        <w:ind w:left="4384" w:hanging="270"/>
      </w:pPr>
    </w:lvl>
    <w:lvl w:ilvl="5">
      <w:numFmt w:val="bullet"/>
      <w:lvlText w:val="•"/>
      <w:lvlJc w:val="left"/>
      <w:pPr>
        <w:ind w:left="5355" w:hanging="270"/>
      </w:pPr>
    </w:lvl>
    <w:lvl w:ilvl="6">
      <w:numFmt w:val="bullet"/>
      <w:lvlText w:val="•"/>
      <w:lvlJc w:val="left"/>
      <w:pPr>
        <w:ind w:left="6326" w:hanging="270"/>
      </w:pPr>
    </w:lvl>
    <w:lvl w:ilvl="7">
      <w:numFmt w:val="bullet"/>
      <w:lvlText w:val="•"/>
      <w:lvlJc w:val="left"/>
      <w:pPr>
        <w:ind w:left="7297" w:hanging="270"/>
      </w:pPr>
    </w:lvl>
    <w:lvl w:ilvl="8">
      <w:numFmt w:val="bullet"/>
      <w:lvlText w:val="•"/>
      <w:lvlJc w:val="left"/>
      <w:pPr>
        <w:ind w:left="8268" w:hanging="270"/>
      </w:pPr>
    </w:lvl>
  </w:abstractNum>
  <w:abstractNum w:abstractNumId="2" w15:restartNumberingAfterBreak="0">
    <w:nsid w:val="02F652DD"/>
    <w:multiLevelType w:val="multilevel"/>
    <w:tmpl w:val="83BC2428"/>
    <w:lvl w:ilvl="0">
      <w:start w:val="1"/>
      <w:numFmt w:val="decimal"/>
      <w:lvlText w:val="%1."/>
      <w:lvlJc w:val="left"/>
      <w:pPr>
        <w:ind w:left="483" w:hanging="260"/>
      </w:pPr>
      <w:rPr>
        <w:rFonts w:ascii="Calibri" w:eastAsia="Calibri" w:hAnsi="Calibri" w:cs="Calibri"/>
        <w:b/>
        <w:i w:val="0"/>
        <w:sz w:val="24"/>
        <w:szCs w:val="24"/>
      </w:rPr>
    </w:lvl>
    <w:lvl w:ilvl="1">
      <w:numFmt w:val="bullet"/>
      <w:lvlText w:val="•"/>
      <w:lvlJc w:val="left"/>
      <w:pPr>
        <w:ind w:left="1453" w:hanging="260"/>
      </w:pPr>
    </w:lvl>
    <w:lvl w:ilvl="2">
      <w:numFmt w:val="bullet"/>
      <w:lvlText w:val="•"/>
      <w:lvlJc w:val="left"/>
      <w:pPr>
        <w:ind w:left="2426" w:hanging="260"/>
      </w:pPr>
    </w:lvl>
    <w:lvl w:ilvl="3">
      <w:numFmt w:val="bullet"/>
      <w:lvlText w:val="•"/>
      <w:lvlJc w:val="left"/>
      <w:pPr>
        <w:ind w:left="3399" w:hanging="260"/>
      </w:pPr>
    </w:lvl>
    <w:lvl w:ilvl="4">
      <w:numFmt w:val="bullet"/>
      <w:lvlText w:val="•"/>
      <w:lvlJc w:val="left"/>
      <w:pPr>
        <w:ind w:left="4372" w:hanging="260"/>
      </w:pPr>
    </w:lvl>
    <w:lvl w:ilvl="5">
      <w:numFmt w:val="bullet"/>
      <w:lvlText w:val="•"/>
      <w:lvlJc w:val="left"/>
      <w:pPr>
        <w:ind w:left="5345" w:hanging="260"/>
      </w:pPr>
    </w:lvl>
    <w:lvl w:ilvl="6">
      <w:numFmt w:val="bullet"/>
      <w:lvlText w:val="•"/>
      <w:lvlJc w:val="left"/>
      <w:pPr>
        <w:ind w:left="6318" w:hanging="260"/>
      </w:pPr>
    </w:lvl>
    <w:lvl w:ilvl="7">
      <w:numFmt w:val="bullet"/>
      <w:lvlText w:val="•"/>
      <w:lvlJc w:val="left"/>
      <w:pPr>
        <w:ind w:left="7291" w:hanging="260"/>
      </w:pPr>
    </w:lvl>
    <w:lvl w:ilvl="8">
      <w:numFmt w:val="bullet"/>
      <w:lvlText w:val="•"/>
      <w:lvlJc w:val="left"/>
      <w:pPr>
        <w:ind w:left="8264" w:hanging="260"/>
      </w:pPr>
    </w:lvl>
  </w:abstractNum>
  <w:abstractNum w:abstractNumId="3" w15:restartNumberingAfterBreak="0">
    <w:nsid w:val="06743B8D"/>
    <w:multiLevelType w:val="multilevel"/>
    <w:tmpl w:val="BD82DCFC"/>
    <w:lvl w:ilvl="0">
      <w:start w:val="1"/>
      <w:numFmt w:val="decimal"/>
      <w:lvlText w:val="%1."/>
      <w:lvlJc w:val="left"/>
      <w:pPr>
        <w:ind w:left="509" w:hanging="356"/>
      </w:pPr>
      <w:rPr>
        <w:rFonts w:ascii="Calibri" w:eastAsia="Calibri" w:hAnsi="Calibri" w:cs="Calibri"/>
        <w:b/>
        <w:i w:val="0"/>
        <w:sz w:val="24"/>
        <w:szCs w:val="24"/>
      </w:rPr>
    </w:lvl>
    <w:lvl w:ilvl="1">
      <w:numFmt w:val="bullet"/>
      <w:lvlText w:val="•"/>
      <w:lvlJc w:val="left"/>
      <w:pPr>
        <w:ind w:left="1471" w:hanging="356"/>
      </w:pPr>
    </w:lvl>
    <w:lvl w:ilvl="2">
      <w:numFmt w:val="bullet"/>
      <w:lvlText w:val="•"/>
      <w:lvlJc w:val="left"/>
      <w:pPr>
        <w:ind w:left="2442" w:hanging="356"/>
      </w:pPr>
    </w:lvl>
    <w:lvl w:ilvl="3">
      <w:numFmt w:val="bullet"/>
      <w:lvlText w:val="•"/>
      <w:lvlJc w:val="left"/>
      <w:pPr>
        <w:ind w:left="3413" w:hanging="356"/>
      </w:pPr>
    </w:lvl>
    <w:lvl w:ilvl="4">
      <w:numFmt w:val="bullet"/>
      <w:lvlText w:val="•"/>
      <w:lvlJc w:val="left"/>
      <w:pPr>
        <w:ind w:left="4384" w:hanging="356"/>
      </w:pPr>
    </w:lvl>
    <w:lvl w:ilvl="5">
      <w:numFmt w:val="bullet"/>
      <w:lvlText w:val="•"/>
      <w:lvlJc w:val="left"/>
      <w:pPr>
        <w:ind w:left="5355" w:hanging="356"/>
      </w:pPr>
    </w:lvl>
    <w:lvl w:ilvl="6">
      <w:numFmt w:val="bullet"/>
      <w:lvlText w:val="•"/>
      <w:lvlJc w:val="left"/>
      <w:pPr>
        <w:ind w:left="6326" w:hanging="356"/>
      </w:pPr>
    </w:lvl>
    <w:lvl w:ilvl="7">
      <w:numFmt w:val="bullet"/>
      <w:lvlText w:val="•"/>
      <w:lvlJc w:val="left"/>
      <w:pPr>
        <w:ind w:left="7297" w:hanging="356"/>
      </w:pPr>
    </w:lvl>
    <w:lvl w:ilvl="8">
      <w:numFmt w:val="bullet"/>
      <w:lvlText w:val="•"/>
      <w:lvlJc w:val="left"/>
      <w:pPr>
        <w:ind w:left="8268" w:hanging="356"/>
      </w:pPr>
    </w:lvl>
  </w:abstractNum>
  <w:abstractNum w:abstractNumId="4" w15:restartNumberingAfterBreak="0">
    <w:nsid w:val="092B63B1"/>
    <w:multiLevelType w:val="multilevel"/>
    <w:tmpl w:val="9D9281C0"/>
    <w:lvl w:ilvl="0">
      <w:start w:val="1"/>
      <w:numFmt w:val="decimal"/>
      <w:lvlText w:val="%1."/>
      <w:lvlJc w:val="left"/>
      <w:pPr>
        <w:ind w:left="842" w:hanging="360"/>
      </w:pPr>
      <w:rPr>
        <w:rFonts w:ascii="Calibri" w:eastAsia="Calibri" w:hAnsi="Calibri" w:cs="Calibri"/>
        <w:b/>
        <w:sz w:val="24"/>
        <w:szCs w:val="24"/>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5" w15:restartNumberingAfterBreak="0">
    <w:nsid w:val="0BBB277D"/>
    <w:multiLevelType w:val="multilevel"/>
    <w:tmpl w:val="48EC00F8"/>
    <w:lvl w:ilvl="0">
      <w:start w:val="1"/>
      <w:numFmt w:val="decimal"/>
      <w:lvlText w:val="%1."/>
      <w:lvlJc w:val="left"/>
      <w:pPr>
        <w:ind w:left="483" w:hanging="340"/>
      </w:pPr>
      <w:rPr>
        <w:rFonts w:ascii="Calibri" w:eastAsia="Calibri" w:hAnsi="Calibri" w:cs="Calibri"/>
        <w:b/>
        <w:i w:val="0"/>
        <w:sz w:val="24"/>
        <w:szCs w:val="24"/>
      </w:rPr>
    </w:lvl>
    <w:lvl w:ilvl="1">
      <w:numFmt w:val="bullet"/>
      <w:lvlText w:val="•"/>
      <w:lvlJc w:val="left"/>
      <w:pPr>
        <w:ind w:left="1453" w:hanging="340"/>
      </w:pPr>
    </w:lvl>
    <w:lvl w:ilvl="2">
      <w:numFmt w:val="bullet"/>
      <w:lvlText w:val="•"/>
      <w:lvlJc w:val="left"/>
      <w:pPr>
        <w:ind w:left="2426" w:hanging="340"/>
      </w:pPr>
    </w:lvl>
    <w:lvl w:ilvl="3">
      <w:numFmt w:val="bullet"/>
      <w:lvlText w:val="•"/>
      <w:lvlJc w:val="left"/>
      <w:pPr>
        <w:ind w:left="3399" w:hanging="340"/>
      </w:pPr>
    </w:lvl>
    <w:lvl w:ilvl="4">
      <w:numFmt w:val="bullet"/>
      <w:lvlText w:val="•"/>
      <w:lvlJc w:val="left"/>
      <w:pPr>
        <w:ind w:left="4372" w:hanging="340"/>
      </w:pPr>
    </w:lvl>
    <w:lvl w:ilvl="5">
      <w:numFmt w:val="bullet"/>
      <w:lvlText w:val="•"/>
      <w:lvlJc w:val="left"/>
      <w:pPr>
        <w:ind w:left="5345" w:hanging="340"/>
      </w:pPr>
    </w:lvl>
    <w:lvl w:ilvl="6">
      <w:numFmt w:val="bullet"/>
      <w:lvlText w:val="•"/>
      <w:lvlJc w:val="left"/>
      <w:pPr>
        <w:ind w:left="6318" w:hanging="340"/>
      </w:pPr>
    </w:lvl>
    <w:lvl w:ilvl="7">
      <w:numFmt w:val="bullet"/>
      <w:lvlText w:val="•"/>
      <w:lvlJc w:val="left"/>
      <w:pPr>
        <w:ind w:left="7291" w:hanging="340"/>
      </w:pPr>
    </w:lvl>
    <w:lvl w:ilvl="8">
      <w:numFmt w:val="bullet"/>
      <w:lvlText w:val="•"/>
      <w:lvlJc w:val="left"/>
      <w:pPr>
        <w:ind w:left="8264" w:hanging="340"/>
      </w:pPr>
    </w:lvl>
  </w:abstractNum>
  <w:abstractNum w:abstractNumId="6" w15:restartNumberingAfterBreak="0">
    <w:nsid w:val="0E7F5331"/>
    <w:multiLevelType w:val="multilevel"/>
    <w:tmpl w:val="6BBA569C"/>
    <w:lvl w:ilvl="0">
      <w:start w:val="1"/>
      <w:numFmt w:val="decimal"/>
      <w:lvlText w:val="%1."/>
      <w:lvlJc w:val="left"/>
      <w:pPr>
        <w:ind w:left="719" w:hanging="237"/>
      </w:pPr>
      <w:rPr>
        <w:rFonts w:ascii="Calibri" w:eastAsia="Calibri" w:hAnsi="Calibri" w:cs="Calibri"/>
        <w:b/>
        <w:i w:val="0"/>
        <w:sz w:val="24"/>
        <w:szCs w:val="24"/>
      </w:rPr>
    </w:lvl>
    <w:lvl w:ilvl="1">
      <w:start w:val="1"/>
      <w:numFmt w:val="lowerLetter"/>
      <w:lvlText w:val="%2)"/>
      <w:lvlJc w:val="left"/>
      <w:pPr>
        <w:ind w:left="1514" w:hanging="639"/>
      </w:pPr>
    </w:lvl>
    <w:lvl w:ilvl="2">
      <w:numFmt w:val="bullet"/>
      <w:lvlText w:val="•"/>
      <w:lvlJc w:val="left"/>
      <w:pPr>
        <w:ind w:left="2485" w:hanging="639"/>
      </w:pPr>
    </w:lvl>
    <w:lvl w:ilvl="3">
      <w:numFmt w:val="bullet"/>
      <w:lvlText w:val="•"/>
      <w:lvlJc w:val="left"/>
      <w:pPr>
        <w:ind w:left="3451" w:hanging="638"/>
      </w:pPr>
    </w:lvl>
    <w:lvl w:ilvl="4">
      <w:numFmt w:val="bullet"/>
      <w:lvlText w:val="•"/>
      <w:lvlJc w:val="left"/>
      <w:pPr>
        <w:ind w:left="4416" w:hanging="638"/>
      </w:pPr>
    </w:lvl>
    <w:lvl w:ilvl="5">
      <w:numFmt w:val="bullet"/>
      <w:lvlText w:val="•"/>
      <w:lvlJc w:val="left"/>
      <w:pPr>
        <w:ind w:left="5382" w:hanging="638"/>
      </w:pPr>
    </w:lvl>
    <w:lvl w:ilvl="6">
      <w:numFmt w:val="bullet"/>
      <w:lvlText w:val="•"/>
      <w:lvlJc w:val="left"/>
      <w:pPr>
        <w:ind w:left="6347" w:hanging="637"/>
      </w:pPr>
    </w:lvl>
    <w:lvl w:ilvl="7">
      <w:numFmt w:val="bullet"/>
      <w:lvlText w:val="•"/>
      <w:lvlJc w:val="left"/>
      <w:pPr>
        <w:ind w:left="7313" w:hanging="639"/>
      </w:pPr>
    </w:lvl>
    <w:lvl w:ilvl="8">
      <w:numFmt w:val="bullet"/>
      <w:lvlText w:val="•"/>
      <w:lvlJc w:val="left"/>
      <w:pPr>
        <w:ind w:left="8278" w:hanging="639"/>
      </w:pPr>
    </w:lvl>
  </w:abstractNum>
  <w:abstractNum w:abstractNumId="7" w15:restartNumberingAfterBreak="0">
    <w:nsid w:val="0FCE78CC"/>
    <w:multiLevelType w:val="multilevel"/>
    <w:tmpl w:val="0F9AF132"/>
    <w:lvl w:ilvl="0">
      <w:start w:val="1"/>
      <w:numFmt w:val="decimal"/>
      <w:lvlText w:val="%1."/>
      <w:lvlJc w:val="left"/>
      <w:pPr>
        <w:ind w:left="483" w:hanging="240"/>
      </w:pPr>
      <w:rPr>
        <w:rFonts w:ascii="Calibri" w:eastAsia="Calibri" w:hAnsi="Calibri" w:cs="Calibri"/>
        <w:b/>
        <w:i w:val="0"/>
        <w:sz w:val="24"/>
        <w:szCs w:val="24"/>
      </w:rPr>
    </w:lvl>
    <w:lvl w:ilvl="1">
      <w:numFmt w:val="bullet"/>
      <w:lvlText w:val="•"/>
      <w:lvlJc w:val="left"/>
      <w:pPr>
        <w:ind w:left="1453" w:hanging="240"/>
      </w:pPr>
    </w:lvl>
    <w:lvl w:ilvl="2">
      <w:numFmt w:val="bullet"/>
      <w:lvlText w:val="•"/>
      <w:lvlJc w:val="left"/>
      <w:pPr>
        <w:ind w:left="2426" w:hanging="240"/>
      </w:pPr>
    </w:lvl>
    <w:lvl w:ilvl="3">
      <w:numFmt w:val="bullet"/>
      <w:lvlText w:val="•"/>
      <w:lvlJc w:val="left"/>
      <w:pPr>
        <w:ind w:left="3399" w:hanging="240"/>
      </w:pPr>
    </w:lvl>
    <w:lvl w:ilvl="4">
      <w:numFmt w:val="bullet"/>
      <w:lvlText w:val="•"/>
      <w:lvlJc w:val="left"/>
      <w:pPr>
        <w:ind w:left="4372" w:hanging="240"/>
      </w:pPr>
    </w:lvl>
    <w:lvl w:ilvl="5">
      <w:numFmt w:val="bullet"/>
      <w:lvlText w:val="•"/>
      <w:lvlJc w:val="left"/>
      <w:pPr>
        <w:ind w:left="5345" w:hanging="240"/>
      </w:pPr>
    </w:lvl>
    <w:lvl w:ilvl="6">
      <w:numFmt w:val="bullet"/>
      <w:lvlText w:val="•"/>
      <w:lvlJc w:val="left"/>
      <w:pPr>
        <w:ind w:left="6318" w:hanging="240"/>
      </w:pPr>
    </w:lvl>
    <w:lvl w:ilvl="7">
      <w:numFmt w:val="bullet"/>
      <w:lvlText w:val="•"/>
      <w:lvlJc w:val="left"/>
      <w:pPr>
        <w:ind w:left="7291" w:hanging="240"/>
      </w:pPr>
    </w:lvl>
    <w:lvl w:ilvl="8">
      <w:numFmt w:val="bullet"/>
      <w:lvlText w:val="•"/>
      <w:lvlJc w:val="left"/>
      <w:pPr>
        <w:ind w:left="8264" w:hanging="240"/>
      </w:pPr>
    </w:lvl>
  </w:abstractNum>
  <w:abstractNum w:abstractNumId="8" w15:restartNumberingAfterBreak="0">
    <w:nsid w:val="10A37420"/>
    <w:multiLevelType w:val="multilevel"/>
    <w:tmpl w:val="7E32C394"/>
    <w:lvl w:ilvl="0">
      <w:start w:val="1"/>
      <w:numFmt w:val="decimal"/>
      <w:lvlText w:val="%1."/>
      <w:lvlJc w:val="left"/>
      <w:pPr>
        <w:ind w:left="483" w:hanging="311"/>
      </w:pPr>
      <w:rPr>
        <w:rFonts w:ascii="Calibri" w:eastAsia="Calibri" w:hAnsi="Calibri" w:cs="Calibri"/>
        <w:b/>
        <w:i w:val="0"/>
        <w:sz w:val="24"/>
        <w:szCs w:val="24"/>
      </w:rPr>
    </w:lvl>
    <w:lvl w:ilvl="1">
      <w:start w:val="1"/>
      <w:numFmt w:val="lowerLetter"/>
      <w:lvlText w:val="%2)"/>
      <w:lvlJc w:val="left"/>
      <w:pPr>
        <w:ind w:left="1514" w:hanging="639"/>
      </w:pPr>
    </w:lvl>
    <w:lvl w:ilvl="2">
      <w:numFmt w:val="bullet"/>
      <w:lvlText w:val="•"/>
      <w:lvlJc w:val="left"/>
      <w:pPr>
        <w:ind w:left="2485" w:hanging="639"/>
      </w:pPr>
    </w:lvl>
    <w:lvl w:ilvl="3">
      <w:numFmt w:val="bullet"/>
      <w:lvlText w:val="•"/>
      <w:lvlJc w:val="left"/>
      <w:pPr>
        <w:ind w:left="3451" w:hanging="638"/>
      </w:pPr>
    </w:lvl>
    <w:lvl w:ilvl="4">
      <w:numFmt w:val="bullet"/>
      <w:lvlText w:val="•"/>
      <w:lvlJc w:val="left"/>
      <w:pPr>
        <w:ind w:left="4416" w:hanging="638"/>
      </w:pPr>
    </w:lvl>
    <w:lvl w:ilvl="5">
      <w:numFmt w:val="bullet"/>
      <w:lvlText w:val="•"/>
      <w:lvlJc w:val="left"/>
      <w:pPr>
        <w:ind w:left="5382" w:hanging="638"/>
      </w:pPr>
    </w:lvl>
    <w:lvl w:ilvl="6">
      <w:numFmt w:val="bullet"/>
      <w:lvlText w:val="•"/>
      <w:lvlJc w:val="left"/>
      <w:pPr>
        <w:ind w:left="6347" w:hanging="637"/>
      </w:pPr>
    </w:lvl>
    <w:lvl w:ilvl="7">
      <w:numFmt w:val="bullet"/>
      <w:lvlText w:val="•"/>
      <w:lvlJc w:val="left"/>
      <w:pPr>
        <w:ind w:left="7313" w:hanging="639"/>
      </w:pPr>
    </w:lvl>
    <w:lvl w:ilvl="8">
      <w:numFmt w:val="bullet"/>
      <w:lvlText w:val="•"/>
      <w:lvlJc w:val="left"/>
      <w:pPr>
        <w:ind w:left="8278" w:hanging="639"/>
      </w:pPr>
    </w:lvl>
  </w:abstractNum>
  <w:abstractNum w:abstractNumId="9" w15:restartNumberingAfterBreak="0">
    <w:nsid w:val="10B34D0C"/>
    <w:multiLevelType w:val="multilevel"/>
    <w:tmpl w:val="0EA2B742"/>
    <w:lvl w:ilvl="0">
      <w:start w:val="1"/>
      <w:numFmt w:val="decimal"/>
      <w:lvlText w:val="%1."/>
      <w:lvlJc w:val="left"/>
      <w:pPr>
        <w:ind w:left="483" w:hanging="318"/>
      </w:pPr>
      <w:rPr>
        <w:rFonts w:ascii="Calibri" w:eastAsia="Calibri" w:hAnsi="Calibri" w:cs="Calibri"/>
        <w:b/>
        <w:i w:val="0"/>
        <w:sz w:val="24"/>
        <w:szCs w:val="24"/>
      </w:rPr>
    </w:lvl>
    <w:lvl w:ilvl="1">
      <w:numFmt w:val="bullet"/>
      <w:lvlText w:val="•"/>
      <w:lvlJc w:val="left"/>
      <w:pPr>
        <w:ind w:left="1453" w:hanging="317"/>
      </w:pPr>
    </w:lvl>
    <w:lvl w:ilvl="2">
      <w:numFmt w:val="bullet"/>
      <w:lvlText w:val="•"/>
      <w:lvlJc w:val="left"/>
      <w:pPr>
        <w:ind w:left="2426" w:hanging="318"/>
      </w:pPr>
    </w:lvl>
    <w:lvl w:ilvl="3">
      <w:numFmt w:val="bullet"/>
      <w:lvlText w:val="•"/>
      <w:lvlJc w:val="left"/>
      <w:pPr>
        <w:ind w:left="3399" w:hanging="318"/>
      </w:pPr>
    </w:lvl>
    <w:lvl w:ilvl="4">
      <w:numFmt w:val="bullet"/>
      <w:lvlText w:val="•"/>
      <w:lvlJc w:val="left"/>
      <w:pPr>
        <w:ind w:left="4372" w:hanging="318"/>
      </w:pPr>
    </w:lvl>
    <w:lvl w:ilvl="5">
      <w:numFmt w:val="bullet"/>
      <w:lvlText w:val="•"/>
      <w:lvlJc w:val="left"/>
      <w:pPr>
        <w:ind w:left="5345" w:hanging="318"/>
      </w:pPr>
    </w:lvl>
    <w:lvl w:ilvl="6">
      <w:numFmt w:val="bullet"/>
      <w:lvlText w:val="•"/>
      <w:lvlJc w:val="left"/>
      <w:pPr>
        <w:ind w:left="6318" w:hanging="318"/>
      </w:pPr>
    </w:lvl>
    <w:lvl w:ilvl="7">
      <w:numFmt w:val="bullet"/>
      <w:lvlText w:val="•"/>
      <w:lvlJc w:val="left"/>
      <w:pPr>
        <w:ind w:left="7291" w:hanging="317"/>
      </w:pPr>
    </w:lvl>
    <w:lvl w:ilvl="8">
      <w:numFmt w:val="bullet"/>
      <w:lvlText w:val="•"/>
      <w:lvlJc w:val="left"/>
      <w:pPr>
        <w:ind w:left="8264" w:hanging="318"/>
      </w:pPr>
    </w:lvl>
  </w:abstractNum>
  <w:abstractNum w:abstractNumId="10" w15:restartNumberingAfterBreak="0">
    <w:nsid w:val="10CB61DF"/>
    <w:multiLevelType w:val="multilevel"/>
    <w:tmpl w:val="A8D2ED48"/>
    <w:lvl w:ilvl="0">
      <w:start w:val="1"/>
      <w:numFmt w:val="decimal"/>
      <w:lvlText w:val="%1."/>
      <w:lvlJc w:val="left"/>
      <w:pPr>
        <w:ind w:left="483" w:hanging="278"/>
      </w:pPr>
      <w:rPr>
        <w:rFonts w:ascii="Arial" w:eastAsia="Arial" w:hAnsi="Arial" w:cs="Arial"/>
        <w:b/>
        <w:i w:val="0"/>
        <w:sz w:val="24"/>
        <w:szCs w:val="24"/>
      </w:rPr>
    </w:lvl>
    <w:lvl w:ilvl="1">
      <w:numFmt w:val="bullet"/>
      <w:lvlText w:val="•"/>
      <w:lvlJc w:val="left"/>
      <w:pPr>
        <w:ind w:left="1453" w:hanging="277"/>
      </w:pPr>
    </w:lvl>
    <w:lvl w:ilvl="2">
      <w:numFmt w:val="bullet"/>
      <w:lvlText w:val="•"/>
      <w:lvlJc w:val="left"/>
      <w:pPr>
        <w:ind w:left="2426" w:hanging="278"/>
      </w:pPr>
    </w:lvl>
    <w:lvl w:ilvl="3">
      <w:numFmt w:val="bullet"/>
      <w:lvlText w:val="•"/>
      <w:lvlJc w:val="left"/>
      <w:pPr>
        <w:ind w:left="3399" w:hanging="278"/>
      </w:pPr>
    </w:lvl>
    <w:lvl w:ilvl="4">
      <w:numFmt w:val="bullet"/>
      <w:lvlText w:val="•"/>
      <w:lvlJc w:val="left"/>
      <w:pPr>
        <w:ind w:left="4372" w:hanging="278"/>
      </w:pPr>
    </w:lvl>
    <w:lvl w:ilvl="5">
      <w:numFmt w:val="bullet"/>
      <w:lvlText w:val="•"/>
      <w:lvlJc w:val="left"/>
      <w:pPr>
        <w:ind w:left="5345" w:hanging="278"/>
      </w:pPr>
    </w:lvl>
    <w:lvl w:ilvl="6">
      <w:numFmt w:val="bullet"/>
      <w:lvlText w:val="•"/>
      <w:lvlJc w:val="left"/>
      <w:pPr>
        <w:ind w:left="6318" w:hanging="278"/>
      </w:pPr>
    </w:lvl>
    <w:lvl w:ilvl="7">
      <w:numFmt w:val="bullet"/>
      <w:lvlText w:val="•"/>
      <w:lvlJc w:val="left"/>
      <w:pPr>
        <w:ind w:left="7291" w:hanging="277"/>
      </w:pPr>
    </w:lvl>
    <w:lvl w:ilvl="8">
      <w:numFmt w:val="bullet"/>
      <w:lvlText w:val="•"/>
      <w:lvlJc w:val="left"/>
      <w:pPr>
        <w:ind w:left="8264" w:hanging="278"/>
      </w:pPr>
    </w:lvl>
  </w:abstractNum>
  <w:abstractNum w:abstractNumId="11" w15:restartNumberingAfterBreak="0">
    <w:nsid w:val="119A67EE"/>
    <w:multiLevelType w:val="multilevel"/>
    <w:tmpl w:val="CF1C0C18"/>
    <w:lvl w:ilvl="0">
      <w:start w:val="1"/>
      <w:numFmt w:val="decimal"/>
      <w:lvlText w:val="%1."/>
      <w:lvlJc w:val="left"/>
      <w:pPr>
        <w:ind w:left="511" w:hanging="312"/>
      </w:pPr>
      <w:rPr>
        <w:rFonts w:ascii="Calibri" w:eastAsia="Calibri" w:hAnsi="Calibri" w:cs="Calibri"/>
        <w:b/>
        <w:i w:val="0"/>
        <w:sz w:val="24"/>
        <w:szCs w:val="24"/>
      </w:rPr>
    </w:lvl>
    <w:lvl w:ilvl="1">
      <w:numFmt w:val="bullet"/>
      <w:lvlText w:val="•"/>
      <w:lvlJc w:val="left"/>
      <w:pPr>
        <w:ind w:left="1489" w:hanging="312"/>
      </w:pPr>
    </w:lvl>
    <w:lvl w:ilvl="2">
      <w:numFmt w:val="bullet"/>
      <w:lvlText w:val="•"/>
      <w:lvlJc w:val="left"/>
      <w:pPr>
        <w:ind w:left="2458" w:hanging="312"/>
      </w:pPr>
    </w:lvl>
    <w:lvl w:ilvl="3">
      <w:numFmt w:val="bullet"/>
      <w:lvlText w:val="•"/>
      <w:lvlJc w:val="left"/>
      <w:pPr>
        <w:ind w:left="3427" w:hanging="312"/>
      </w:pPr>
    </w:lvl>
    <w:lvl w:ilvl="4">
      <w:numFmt w:val="bullet"/>
      <w:lvlText w:val="•"/>
      <w:lvlJc w:val="left"/>
      <w:pPr>
        <w:ind w:left="4396" w:hanging="311"/>
      </w:pPr>
    </w:lvl>
    <w:lvl w:ilvl="5">
      <w:numFmt w:val="bullet"/>
      <w:lvlText w:val="•"/>
      <w:lvlJc w:val="left"/>
      <w:pPr>
        <w:ind w:left="5365" w:hanging="312"/>
      </w:pPr>
    </w:lvl>
    <w:lvl w:ilvl="6">
      <w:numFmt w:val="bullet"/>
      <w:lvlText w:val="•"/>
      <w:lvlJc w:val="left"/>
      <w:pPr>
        <w:ind w:left="6334" w:hanging="312"/>
      </w:pPr>
    </w:lvl>
    <w:lvl w:ilvl="7">
      <w:numFmt w:val="bullet"/>
      <w:lvlText w:val="•"/>
      <w:lvlJc w:val="left"/>
      <w:pPr>
        <w:ind w:left="7303" w:hanging="312"/>
      </w:pPr>
    </w:lvl>
    <w:lvl w:ilvl="8">
      <w:numFmt w:val="bullet"/>
      <w:lvlText w:val="•"/>
      <w:lvlJc w:val="left"/>
      <w:pPr>
        <w:ind w:left="8272" w:hanging="312"/>
      </w:pPr>
    </w:lvl>
  </w:abstractNum>
  <w:abstractNum w:abstractNumId="12" w15:restartNumberingAfterBreak="0">
    <w:nsid w:val="13ED186B"/>
    <w:multiLevelType w:val="multilevel"/>
    <w:tmpl w:val="F05481E0"/>
    <w:lvl w:ilvl="0">
      <w:start w:val="1"/>
      <w:numFmt w:val="decimal"/>
      <w:lvlText w:val="%1."/>
      <w:lvlJc w:val="left"/>
      <w:pPr>
        <w:ind w:left="544" w:hanging="271"/>
      </w:pPr>
      <w:rPr>
        <w:rFonts w:ascii="Calibri" w:eastAsia="Calibri" w:hAnsi="Calibri" w:cs="Calibri"/>
        <w:b/>
        <w:i w:val="0"/>
        <w:sz w:val="24"/>
        <w:szCs w:val="24"/>
      </w:rPr>
    </w:lvl>
    <w:lvl w:ilvl="1">
      <w:start w:val="1"/>
      <w:numFmt w:val="lowerLetter"/>
      <w:lvlText w:val="%2)"/>
      <w:lvlJc w:val="left"/>
      <w:pPr>
        <w:ind w:left="1514" w:hanging="639"/>
      </w:pPr>
    </w:lvl>
    <w:lvl w:ilvl="2">
      <w:numFmt w:val="bullet"/>
      <w:lvlText w:val="•"/>
      <w:lvlJc w:val="left"/>
      <w:pPr>
        <w:ind w:left="2485" w:hanging="639"/>
      </w:pPr>
    </w:lvl>
    <w:lvl w:ilvl="3">
      <w:numFmt w:val="bullet"/>
      <w:lvlText w:val="•"/>
      <w:lvlJc w:val="left"/>
      <w:pPr>
        <w:ind w:left="3451" w:hanging="638"/>
      </w:pPr>
    </w:lvl>
    <w:lvl w:ilvl="4">
      <w:numFmt w:val="bullet"/>
      <w:lvlText w:val="•"/>
      <w:lvlJc w:val="left"/>
      <w:pPr>
        <w:ind w:left="4416" w:hanging="638"/>
      </w:pPr>
    </w:lvl>
    <w:lvl w:ilvl="5">
      <w:numFmt w:val="bullet"/>
      <w:lvlText w:val="•"/>
      <w:lvlJc w:val="left"/>
      <w:pPr>
        <w:ind w:left="5382" w:hanging="638"/>
      </w:pPr>
    </w:lvl>
    <w:lvl w:ilvl="6">
      <w:numFmt w:val="bullet"/>
      <w:lvlText w:val="•"/>
      <w:lvlJc w:val="left"/>
      <w:pPr>
        <w:ind w:left="6347" w:hanging="637"/>
      </w:pPr>
    </w:lvl>
    <w:lvl w:ilvl="7">
      <w:numFmt w:val="bullet"/>
      <w:lvlText w:val="•"/>
      <w:lvlJc w:val="left"/>
      <w:pPr>
        <w:ind w:left="7313" w:hanging="639"/>
      </w:pPr>
    </w:lvl>
    <w:lvl w:ilvl="8">
      <w:numFmt w:val="bullet"/>
      <w:lvlText w:val="•"/>
      <w:lvlJc w:val="left"/>
      <w:pPr>
        <w:ind w:left="8278" w:hanging="639"/>
      </w:pPr>
    </w:lvl>
  </w:abstractNum>
  <w:abstractNum w:abstractNumId="13" w15:restartNumberingAfterBreak="0">
    <w:nsid w:val="15910969"/>
    <w:multiLevelType w:val="multilevel"/>
    <w:tmpl w:val="85582602"/>
    <w:lvl w:ilvl="0">
      <w:start w:val="1"/>
      <w:numFmt w:val="decimal"/>
      <w:lvlText w:val="%1."/>
      <w:lvlJc w:val="left"/>
      <w:pPr>
        <w:ind w:left="498" w:hanging="342"/>
      </w:pPr>
      <w:rPr>
        <w:rFonts w:ascii="Calibri" w:eastAsia="Calibri" w:hAnsi="Calibri" w:cs="Calibri"/>
        <w:b/>
        <w:i w:val="0"/>
        <w:sz w:val="24"/>
        <w:szCs w:val="24"/>
      </w:rPr>
    </w:lvl>
    <w:lvl w:ilvl="1">
      <w:numFmt w:val="bullet"/>
      <w:lvlText w:val="•"/>
      <w:lvlJc w:val="left"/>
      <w:pPr>
        <w:ind w:left="1471" w:hanging="342"/>
      </w:pPr>
    </w:lvl>
    <w:lvl w:ilvl="2">
      <w:numFmt w:val="bullet"/>
      <w:lvlText w:val="•"/>
      <w:lvlJc w:val="left"/>
      <w:pPr>
        <w:ind w:left="2442" w:hanging="342"/>
      </w:pPr>
    </w:lvl>
    <w:lvl w:ilvl="3">
      <w:numFmt w:val="bullet"/>
      <w:lvlText w:val="•"/>
      <w:lvlJc w:val="left"/>
      <w:pPr>
        <w:ind w:left="3413" w:hanging="342"/>
      </w:pPr>
    </w:lvl>
    <w:lvl w:ilvl="4">
      <w:numFmt w:val="bullet"/>
      <w:lvlText w:val="•"/>
      <w:lvlJc w:val="left"/>
      <w:pPr>
        <w:ind w:left="4384" w:hanging="342"/>
      </w:pPr>
    </w:lvl>
    <w:lvl w:ilvl="5">
      <w:numFmt w:val="bullet"/>
      <w:lvlText w:val="•"/>
      <w:lvlJc w:val="left"/>
      <w:pPr>
        <w:ind w:left="5355" w:hanging="342"/>
      </w:pPr>
    </w:lvl>
    <w:lvl w:ilvl="6">
      <w:numFmt w:val="bullet"/>
      <w:lvlText w:val="•"/>
      <w:lvlJc w:val="left"/>
      <w:pPr>
        <w:ind w:left="6326" w:hanging="342"/>
      </w:pPr>
    </w:lvl>
    <w:lvl w:ilvl="7">
      <w:numFmt w:val="bullet"/>
      <w:lvlText w:val="•"/>
      <w:lvlJc w:val="left"/>
      <w:pPr>
        <w:ind w:left="7297" w:hanging="342"/>
      </w:pPr>
    </w:lvl>
    <w:lvl w:ilvl="8">
      <w:numFmt w:val="bullet"/>
      <w:lvlText w:val="•"/>
      <w:lvlJc w:val="left"/>
      <w:pPr>
        <w:ind w:left="8268" w:hanging="342"/>
      </w:pPr>
    </w:lvl>
  </w:abstractNum>
  <w:abstractNum w:abstractNumId="14" w15:restartNumberingAfterBreak="0">
    <w:nsid w:val="1AE617B6"/>
    <w:multiLevelType w:val="multilevel"/>
    <w:tmpl w:val="C944EE26"/>
    <w:lvl w:ilvl="0">
      <w:start w:val="1"/>
      <w:numFmt w:val="decimal"/>
      <w:lvlText w:val="%1."/>
      <w:lvlJc w:val="left"/>
      <w:pPr>
        <w:ind w:left="483" w:hanging="312"/>
      </w:pPr>
      <w:rPr>
        <w:rFonts w:ascii="Calibri" w:eastAsia="Calibri" w:hAnsi="Calibri" w:cs="Calibri"/>
        <w:b/>
        <w:i w:val="0"/>
        <w:sz w:val="24"/>
        <w:szCs w:val="24"/>
      </w:rPr>
    </w:lvl>
    <w:lvl w:ilvl="1">
      <w:start w:val="1"/>
      <w:numFmt w:val="lowerLetter"/>
      <w:lvlText w:val="%2)"/>
      <w:lvlJc w:val="left"/>
      <w:pPr>
        <w:ind w:left="1411" w:hanging="456"/>
      </w:pPr>
    </w:lvl>
    <w:lvl w:ilvl="2">
      <w:numFmt w:val="bullet"/>
      <w:lvlText w:val="•"/>
      <w:lvlJc w:val="left"/>
      <w:pPr>
        <w:ind w:left="2396" w:hanging="456"/>
      </w:pPr>
    </w:lvl>
    <w:lvl w:ilvl="3">
      <w:numFmt w:val="bullet"/>
      <w:lvlText w:val="•"/>
      <w:lvlJc w:val="left"/>
      <w:pPr>
        <w:ind w:left="3373" w:hanging="456"/>
      </w:pPr>
    </w:lvl>
    <w:lvl w:ilvl="4">
      <w:numFmt w:val="bullet"/>
      <w:lvlText w:val="•"/>
      <w:lvlJc w:val="left"/>
      <w:pPr>
        <w:ind w:left="4350" w:hanging="456"/>
      </w:pPr>
    </w:lvl>
    <w:lvl w:ilvl="5">
      <w:numFmt w:val="bullet"/>
      <w:lvlText w:val="•"/>
      <w:lvlJc w:val="left"/>
      <w:pPr>
        <w:ind w:left="5326" w:hanging="456"/>
      </w:pPr>
    </w:lvl>
    <w:lvl w:ilvl="6">
      <w:numFmt w:val="bullet"/>
      <w:lvlText w:val="•"/>
      <w:lvlJc w:val="left"/>
      <w:pPr>
        <w:ind w:left="6303" w:hanging="456"/>
      </w:pPr>
    </w:lvl>
    <w:lvl w:ilvl="7">
      <w:numFmt w:val="bullet"/>
      <w:lvlText w:val="•"/>
      <w:lvlJc w:val="left"/>
      <w:pPr>
        <w:ind w:left="7280" w:hanging="456"/>
      </w:pPr>
    </w:lvl>
    <w:lvl w:ilvl="8">
      <w:numFmt w:val="bullet"/>
      <w:lvlText w:val="•"/>
      <w:lvlJc w:val="left"/>
      <w:pPr>
        <w:ind w:left="8256" w:hanging="456"/>
      </w:pPr>
    </w:lvl>
  </w:abstractNum>
  <w:abstractNum w:abstractNumId="15" w15:restartNumberingAfterBreak="0">
    <w:nsid w:val="1C2575DA"/>
    <w:multiLevelType w:val="multilevel"/>
    <w:tmpl w:val="DE8C484C"/>
    <w:lvl w:ilvl="0">
      <w:start w:val="1"/>
      <w:numFmt w:val="decimal"/>
      <w:lvlText w:val="%1."/>
      <w:lvlJc w:val="left"/>
      <w:pPr>
        <w:ind w:left="483" w:hanging="262"/>
      </w:pPr>
      <w:rPr>
        <w:rFonts w:ascii="Calibri" w:eastAsia="Calibri" w:hAnsi="Calibri" w:cs="Calibri"/>
        <w:b/>
        <w:i w:val="0"/>
        <w:sz w:val="24"/>
        <w:szCs w:val="24"/>
      </w:rPr>
    </w:lvl>
    <w:lvl w:ilvl="1">
      <w:numFmt w:val="bullet"/>
      <w:lvlText w:val="•"/>
      <w:lvlJc w:val="left"/>
      <w:pPr>
        <w:ind w:left="1453" w:hanging="262"/>
      </w:pPr>
    </w:lvl>
    <w:lvl w:ilvl="2">
      <w:numFmt w:val="bullet"/>
      <w:lvlText w:val="•"/>
      <w:lvlJc w:val="left"/>
      <w:pPr>
        <w:ind w:left="2426" w:hanging="262"/>
      </w:pPr>
    </w:lvl>
    <w:lvl w:ilvl="3">
      <w:numFmt w:val="bullet"/>
      <w:lvlText w:val="•"/>
      <w:lvlJc w:val="left"/>
      <w:pPr>
        <w:ind w:left="3399" w:hanging="262"/>
      </w:pPr>
    </w:lvl>
    <w:lvl w:ilvl="4">
      <w:numFmt w:val="bullet"/>
      <w:lvlText w:val="•"/>
      <w:lvlJc w:val="left"/>
      <w:pPr>
        <w:ind w:left="4372" w:hanging="262"/>
      </w:pPr>
    </w:lvl>
    <w:lvl w:ilvl="5">
      <w:numFmt w:val="bullet"/>
      <w:lvlText w:val="•"/>
      <w:lvlJc w:val="left"/>
      <w:pPr>
        <w:ind w:left="5345" w:hanging="262"/>
      </w:pPr>
    </w:lvl>
    <w:lvl w:ilvl="6">
      <w:numFmt w:val="bullet"/>
      <w:lvlText w:val="•"/>
      <w:lvlJc w:val="left"/>
      <w:pPr>
        <w:ind w:left="6318" w:hanging="262"/>
      </w:pPr>
    </w:lvl>
    <w:lvl w:ilvl="7">
      <w:numFmt w:val="bullet"/>
      <w:lvlText w:val="•"/>
      <w:lvlJc w:val="left"/>
      <w:pPr>
        <w:ind w:left="7291" w:hanging="262"/>
      </w:pPr>
    </w:lvl>
    <w:lvl w:ilvl="8">
      <w:numFmt w:val="bullet"/>
      <w:lvlText w:val="•"/>
      <w:lvlJc w:val="left"/>
      <w:pPr>
        <w:ind w:left="8264" w:hanging="262"/>
      </w:pPr>
    </w:lvl>
  </w:abstractNum>
  <w:abstractNum w:abstractNumId="16" w15:restartNumberingAfterBreak="0">
    <w:nsid w:val="1CBE543F"/>
    <w:multiLevelType w:val="multilevel"/>
    <w:tmpl w:val="597C3EFE"/>
    <w:lvl w:ilvl="0">
      <w:start w:val="1"/>
      <w:numFmt w:val="lowerLetter"/>
      <w:lvlText w:val="%1)"/>
      <w:lvlJc w:val="left"/>
      <w:pPr>
        <w:ind w:left="1202" w:hanging="360"/>
      </w:pPr>
    </w:lvl>
    <w:lvl w:ilvl="1">
      <w:start w:val="1"/>
      <w:numFmt w:val="lowerLetter"/>
      <w:lvlText w:val="%2."/>
      <w:lvlJc w:val="left"/>
      <w:pPr>
        <w:ind w:left="1922" w:hanging="360"/>
      </w:pPr>
    </w:lvl>
    <w:lvl w:ilvl="2">
      <w:start w:val="1"/>
      <w:numFmt w:val="lowerRoman"/>
      <w:lvlText w:val="%3."/>
      <w:lvlJc w:val="right"/>
      <w:pPr>
        <w:ind w:left="2642" w:hanging="180"/>
      </w:pPr>
    </w:lvl>
    <w:lvl w:ilvl="3">
      <w:start w:val="1"/>
      <w:numFmt w:val="decimal"/>
      <w:lvlText w:val="%4."/>
      <w:lvlJc w:val="left"/>
      <w:pPr>
        <w:ind w:left="3362" w:hanging="360"/>
      </w:pPr>
    </w:lvl>
    <w:lvl w:ilvl="4">
      <w:start w:val="1"/>
      <w:numFmt w:val="lowerLetter"/>
      <w:lvlText w:val="%5."/>
      <w:lvlJc w:val="left"/>
      <w:pPr>
        <w:ind w:left="4082" w:hanging="360"/>
      </w:pPr>
    </w:lvl>
    <w:lvl w:ilvl="5">
      <w:start w:val="1"/>
      <w:numFmt w:val="lowerRoman"/>
      <w:lvlText w:val="%6."/>
      <w:lvlJc w:val="right"/>
      <w:pPr>
        <w:ind w:left="4802" w:hanging="180"/>
      </w:pPr>
    </w:lvl>
    <w:lvl w:ilvl="6">
      <w:start w:val="1"/>
      <w:numFmt w:val="decimal"/>
      <w:lvlText w:val="%7."/>
      <w:lvlJc w:val="left"/>
      <w:pPr>
        <w:ind w:left="5522" w:hanging="360"/>
      </w:pPr>
    </w:lvl>
    <w:lvl w:ilvl="7">
      <w:start w:val="1"/>
      <w:numFmt w:val="lowerLetter"/>
      <w:lvlText w:val="%8."/>
      <w:lvlJc w:val="left"/>
      <w:pPr>
        <w:ind w:left="6242" w:hanging="360"/>
      </w:pPr>
    </w:lvl>
    <w:lvl w:ilvl="8">
      <w:start w:val="1"/>
      <w:numFmt w:val="lowerRoman"/>
      <w:lvlText w:val="%9."/>
      <w:lvlJc w:val="right"/>
      <w:pPr>
        <w:ind w:left="6962" w:hanging="180"/>
      </w:pPr>
    </w:lvl>
  </w:abstractNum>
  <w:abstractNum w:abstractNumId="17" w15:restartNumberingAfterBreak="0">
    <w:nsid w:val="1D945D6D"/>
    <w:multiLevelType w:val="multilevel"/>
    <w:tmpl w:val="AECEC6E8"/>
    <w:lvl w:ilvl="0">
      <w:start w:val="1"/>
      <w:numFmt w:val="decimal"/>
      <w:lvlText w:val="%1."/>
      <w:lvlJc w:val="left"/>
      <w:pPr>
        <w:ind w:left="483" w:hanging="333"/>
      </w:pPr>
      <w:rPr>
        <w:rFonts w:ascii="Calibri" w:eastAsia="Calibri" w:hAnsi="Calibri" w:cs="Calibri"/>
        <w:b/>
        <w:i w:val="0"/>
        <w:sz w:val="24"/>
        <w:szCs w:val="24"/>
      </w:rPr>
    </w:lvl>
    <w:lvl w:ilvl="1">
      <w:numFmt w:val="bullet"/>
      <w:lvlText w:val="•"/>
      <w:lvlJc w:val="left"/>
      <w:pPr>
        <w:ind w:left="1453" w:hanging="332"/>
      </w:pPr>
    </w:lvl>
    <w:lvl w:ilvl="2">
      <w:numFmt w:val="bullet"/>
      <w:lvlText w:val="•"/>
      <w:lvlJc w:val="left"/>
      <w:pPr>
        <w:ind w:left="2426" w:hanging="333"/>
      </w:pPr>
    </w:lvl>
    <w:lvl w:ilvl="3">
      <w:numFmt w:val="bullet"/>
      <w:lvlText w:val="•"/>
      <w:lvlJc w:val="left"/>
      <w:pPr>
        <w:ind w:left="3399" w:hanging="333"/>
      </w:pPr>
    </w:lvl>
    <w:lvl w:ilvl="4">
      <w:numFmt w:val="bullet"/>
      <w:lvlText w:val="•"/>
      <w:lvlJc w:val="left"/>
      <w:pPr>
        <w:ind w:left="4372" w:hanging="333"/>
      </w:pPr>
    </w:lvl>
    <w:lvl w:ilvl="5">
      <w:numFmt w:val="bullet"/>
      <w:lvlText w:val="•"/>
      <w:lvlJc w:val="left"/>
      <w:pPr>
        <w:ind w:left="5345" w:hanging="333"/>
      </w:pPr>
    </w:lvl>
    <w:lvl w:ilvl="6">
      <w:numFmt w:val="bullet"/>
      <w:lvlText w:val="•"/>
      <w:lvlJc w:val="left"/>
      <w:pPr>
        <w:ind w:left="6318" w:hanging="333"/>
      </w:pPr>
    </w:lvl>
    <w:lvl w:ilvl="7">
      <w:numFmt w:val="bullet"/>
      <w:lvlText w:val="•"/>
      <w:lvlJc w:val="left"/>
      <w:pPr>
        <w:ind w:left="7291" w:hanging="332"/>
      </w:pPr>
    </w:lvl>
    <w:lvl w:ilvl="8">
      <w:numFmt w:val="bullet"/>
      <w:lvlText w:val="•"/>
      <w:lvlJc w:val="left"/>
      <w:pPr>
        <w:ind w:left="8264" w:hanging="333"/>
      </w:pPr>
    </w:lvl>
  </w:abstractNum>
  <w:abstractNum w:abstractNumId="18" w15:restartNumberingAfterBreak="0">
    <w:nsid w:val="1F1B7F5D"/>
    <w:multiLevelType w:val="multilevel"/>
    <w:tmpl w:val="EE92E980"/>
    <w:lvl w:ilvl="0">
      <w:start w:val="1"/>
      <w:numFmt w:val="decimal"/>
      <w:lvlText w:val="%1."/>
      <w:lvlJc w:val="left"/>
      <w:pPr>
        <w:ind w:left="483" w:hanging="301"/>
      </w:pPr>
      <w:rPr>
        <w:rFonts w:ascii="Calibri" w:eastAsia="Calibri" w:hAnsi="Calibri" w:cs="Calibri"/>
        <w:b/>
        <w:i w:val="0"/>
        <w:sz w:val="24"/>
        <w:szCs w:val="24"/>
      </w:rPr>
    </w:lvl>
    <w:lvl w:ilvl="1">
      <w:numFmt w:val="bullet"/>
      <w:lvlText w:val="•"/>
      <w:lvlJc w:val="left"/>
      <w:pPr>
        <w:ind w:left="1453" w:hanging="300"/>
      </w:pPr>
    </w:lvl>
    <w:lvl w:ilvl="2">
      <w:numFmt w:val="bullet"/>
      <w:lvlText w:val="•"/>
      <w:lvlJc w:val="left"/>
      <w:pPr>
        <w:ind w:left="2426" w:hanging="301"/>
      </w:pPr>
    </w:lvl>
    <w:lvl w:ilvl="3">
      <w:numFmt w:val="bullet"/>
      <w:lvlText w:val="•"/>
      <w:lvlJc w:val="left"/>
      <w:pPr>
        <w:ind w:left="3399" w:hanging="301"/>
      </w:pPr>
    </w:lvl>
    <w:lvl w:ilvl="4">
      <w:numFmt w:val="bullet"/>
      <w:lvlText w:val="•"/>
      <w:lvlJc w:val="left"/>
      <w:pPr>
        <w:ind w:left="4372" w:hanging="301"/>
      </w:pPr>
    </w:lvl>
    <w:lvl w:ilvl="5">
      <w:numFmt w:val="bullet"/>
      <w:lvlText w:val="•"/>
      <w:lvlJc w:val="left"/>
      <w:pPr>
        <w:ind w:left="5345" w:hanging="301"/>
      </w:pPr>
    </w:lvl>
    <w:lvl w:ilvl="6">
      <w:numFmt w:val="bullet"/>
      <w:lvlText w:val="•"/>
      <w:lvlJc w:val="left"/>
      <w:pPr>
        <w:ind w:left="6318" w:hanging="301"/>
      </w:pPr>
    </w:lvl>
    <w:lvl w:ilvl="7">
      <w:numFmt w:val="bullet"/>
      <w:lvlText w:val="•"/>
      <w:lvlJc w:val="left"/>
      <w:pPr>
        <w:ind w:left="7291" w:hanging="301"/>
      </w:pPr>
    </w:lvl>
    <w:lvl w:ilvl="8">
      <w:numFmt w:val="bullet"/>
      <w:lvlText w:val="•"/>
      <w:lvlJc w:val="left"/>
      <w:pPr>
        <w:ind w:left="8264" w:hanging="301"/>
      </w:pPr>
    </w:lvl>
  </w:abstractNum>
  <w:abstractNum w:abstractNumId="19" w15:restartNumberingAfterBreak="0">
    <w:nsid w:val="1FE12E99"/>
    <w:multiLevelType w:val="multilevel"/>
    <w:tmpl w:val="A712D6DA"/>
    <w:lvl w:ilvl="0">
      <w:start w:val="1"/>
      <w:numFmt w:val="lowerLetter"/>
      <w:lvlText w:val="%1)"/>
      <w:lvlJc w:val="left"/>
      <w:pPr>
        <w:ind w:left="2131" w:hanging="360"/>
      </w:pPr>
    </w:lvl>
    <w:lvl w:ilvl="1">
      <w:start w:val="1"/>
      <w:numFmt w:val="lowerLetter"/>
      <w:lvlText w:val="%2."/>
      <w:lvlJc w:val="left"/>
      <w:pPr>
        <w:ind w:left="2851" w:hanging="360"/>
      </w:pPr>
    </w:lvl>
    <w:lvl w:ilvl="2">
      <w:start w:val="1"/>
      <w:numFmt w:val="lowerRoman"/>
      <w:lvlText w:val="%3."/>
      <w:lvlJc w:val="right"/>
      <w:pPr>
        <w:ind w:left="3571" w:hanging="180"/>
      </w:pPr>
    </w:lvl>
    <w:lvl w:ilvl="3">
      <w:start w:val="1"/>
      <w:numFmt w:val="decimal"/>
      <w:lvlText w:val="%4."/>
      <w:lvlJc w:val="left"/>
      <w:pPr>
        <w:ind w:left="4291" w:hanging="360"/>
      </w:pPr>
    </w:lvl>
    <w:lvl w:ilvl="4">
      <w:start w:val="1"/>
      <w:numFmt w:val="lowerLetter"/>
      <w:lvlText w:val="%5."/>
      <w:lvlJc w:val="left"/>
      <w:pPr>
        <w:ind w:left="5011" w:hanging="360"/>
      </w:pPr>
    </w:lvl>
    <w:lvl w:ilvl="5">
      <w:start w:val="1"/>
      <w:numFmt w:val="lowerRoman"/>
      <w:lvlText w:val="%6."/>
      <w:lvlJc w:val="right"/>
      <w:pPr>
        <w:ind w:left="5731" w:hanging="180"/>
      </w:pPr>
    </w:lvl>
    <w:lvl w:ilvl="6">
      <w:start w:val="1"/>
      <w:numFmt w:val="decimal"/>
      <w:lvlText w:val="%7."/>
      <w:lvlJc w:val="left"/>
      <w:pPr>
        <w:ind w:left="6451" w:hanging="360"/>
      </w:pPr>
    </w:lvl>
    <w:lvl w:ilvl="7">
      <w:start w:val="1"/>
      <w:numFmt w:val="lowerLetter"/>
      <w:lvlText w:val="%8."/>
      <w:lvlJc w:val="left"/>
      <w:pPr>
        <w:ind w:left="7171" w:hanging="360"/>
      </w:pPr>
    </w:lvl>
    <w:lvl w:ilvl="8">
      <w:start w:val="1"/>
      <w:numFmt w:val="lowerRoman"/>
      <w:lvlText w:val="%9."/>
      <w:lvlJc w:val="right"/>
      <w:pPr>
        <w:ind w:left="7891" w:hanging="180"/>
      </w:pPr>
    </w:lvl>
  </w:abstractNum>
  <w:abstractNum w:abstractNumId="20" w15:restartNumberingAfterBreak="0">
    <w:nsid w:val="1FFB0EF6"/>
    <w:multiLevelType w:val="multilevel"/>
    <w:tmpl w:val="2B9A3FAE"/>
    <w:lvl w:ilvl="0">
      <w:start w:val="1"/>
      <w:numFmt w:val="decimal"/>
      <w:lvlText w:val="%1."/>
      <w:lvlJc w:val="left"/>
      <w:pPr>
        <w:ind w:left="483" w:hanging="238"/>
      </w:pPr>
      <w:rPr>
        <w:rFonts w:ascii="Calibri" w:eastAsia="Calibri" w:hAnsi="Calibri" w:cs="Calibri"/>
        <w:b/>
        <w:i w:val="0"/>
        <w:sz w:val="24"/>
        <w:szCs w:val="24"/>
      </w:rPr>
    </w:lvl>
    <w:lvl w:ilvl="1">
      <w:numFmt w:val="bullet"/>
      <w:lvlText w:val="•"/>
      <w:lvlJc w:val="left"/>
      <w:pPr>
        <w:ind w:left="1453" w:hanging="237"/>
      </w:pPr>
    </w:lvl>
    <w:lvl w:ilvl="2">
      <w:numFmt w:val="bullet"/>
      <w:lvlText w:val="•"/>
      <w:lvlJc w:val="left"/>
      <w:pPr>
        <w:ind w:left="2426" w:hanging="238"/>
      </w:pPr>
    </w:lvl>
    <w:lvl w:ilvl="3">
      <w:numFmt w:val="bullet"/>
      <w:lvlText w:val="•"/>
      <w:lvlJc w:val="left"/>
      <w:pPr>
        <w:ind w:left="3399" w:hanging="238"/>
      </w:pPr>
    </w:lvl>
    <w:lvl w:ilvl="4">
      <w:numFmt w:val="bullet"/>
      <w:lvlText w:val="•"/>
      <w:lvlJc w:val="left"/>
      <w:pPr>
        <w:ind w:left="4372" w:hanging="238"/>
      </w:pPr>
    </w:lvl>
    <w:lvl w:ilvl="5">
      <w:numFmt w:val="bullet"/>
      <w:lvlText w:val="•"/>
      <w:lvlJc w:val="left"/>
      <w:pPr>
        <w:ind w:left="5345" w:hanging="238"/>
      </w:pPr>
    </w:lvl>
    <w:lvl w:ilvl="6">
      <w:numFmt w:val="bullet"/>
      <w:lvlText w:val="•"/>
      <w:lvlJc w:val="left"/>
      <w:pPr>
        <w:ind w:left="6318" w:hanging="238"/>
      </w:pPr>
    </w:lvl>
    <w:lvl w:ilvl="7">
      <w:numFmt w:val="bullet"/>
      <w:lvlText w:val="•"/>
      <w:lvlJc w:val="left"/>
      <w:pPr>
        <w:ind w:left="7291" w:hanging="237"/>
      </w:pPr>
    </w:lvl>
    <w:lvl w:ilvl="8">
      <w:numFmt w:val="bullet"/>
      <w:lvlText w:val="•"/>
      <w:lvlJc w:val="left"/>
      <w:pPr>
        <w:ind w:left="8264" w:hanging="238"/>
      </w:pPr>
    </w:lvl>
  </w:abstractNum>
  <w:abstractNum w:abstractNumId="21" w15:restartNumberingAfterBreak="0">
    <w:nsid w:val="228B56F8"/>
    <w:multiLevelType w:val="multilevel"/>
    <w:tmpl w:val="81F8A1BE"/>
    <w:lvl w:ilvl="0">
      <w:start w:val="1"/>
      <w:numFmt w:val="decimal"/>
      <w:lvlText w:val="%1."/>
      <w:lvlJc w:val="left"/>
      <w:pPr>
        <w:ind w:left="483" w:hanging="321"/>
      </w:pPr>
      <w:rPr>
        <w:rFonts w:ascii="Calibri" w:eastAsia="Calibri" w:hAnsi="Calibri" w:cs="Calibri"/>
        <w:b/>
        <w:i w:val="0"/>
        <w:sz w:val="24"/>
        <w:szCs w:val="24"/>
      </w:rPr>
    </w:lvl>
    <w:lvl w:ilvl="1">
      <w:numFmt w:val="bullet"/>
      <w:lvlText w:val="•"/>
      <w:lvlJc w:val="left"/>
      <w:pPr>
        <w:ind w:left="1453" w:hanging="320"/>
      </w:pPr>
    </w:lvl>
    <w:lvl w:ilvl="2">
      <w:numFmt w:val="bullet"/>
      <w:lvlText w:val="•"/>
      <w:lvlJc w:val="left"/>
      <w:pPr>
        <w:ind w:left="2426" w:hanging="321"/>
      </w:pPr>
    </w:lvl>
    <w:lvl w:ilvl="3">
      <w:numFmt w:val="bullet"/>
      <w:lvlText w:val="•"/>
      <w:lvlJc w:val="left"/>
      <w:pPr>
        <w:ind w:left="3399" w:hanging="321"/>
      </w:pPr>
    </w:lvl>
    <w:lvl w:ilvl="4">
      <w:numFmt w:val="bullet"/>
      <w:lvlText w:val="•"/>
      <w:lvlJc w:val="left"/>
      <w:pPr>
        <w:ind w:left="4372" w:hanging="321"/>
      </w:pPr>
    </w:lvl>
    <w:lvl w:ilvl="5">
      <w:numFmt w:val="bullet"/>
      <w:lvlText w:val="•"/>
      <w:lvlJc w:val="left"/>
      <w:pPr>
        <w:ind w:left="5345" w:hanging="321"/>
      </w:pPr>
    </w:lvl>
    <w:lvl w:ilvl="6">
      <w:numFmt w:val="bullet"/>
      <w:lvlText w:val="•"/>
      <w:lvlJc w:val="left"/>
      <w:pPr>
        <w:ind w:left="6318" w:hanging="321"/>
      </w:pPr>
    </w:lvl>
    <w:lvl w:ilvl="7">
      <w:numFmt w:val="bullet"/>
      <w:lvlText w:val="•"/>
      <w:lvlJc w:val="left"/>
      <w:pPr>
        <w:ind w:left="7291" w:hanging="321"/>
      </w:pPr>
    </w:lvl>
    <w:lvl w:ilvl="8">
      <w:numFmt w:val="bullet"/>
      <w:lvlText w:val="•"/>
      <w:lvlJc w:val="left"/>
      <w:pPr>
        <w:ind w:left="8264" w:hanging="321"/>
      </w:pPr>
    </w:lvl>
  </w:abstractNum>
  <w:abstractNum w:abstractNumId="22" w15:restartNumberingAfterBreak="0">
    <w:nsid w:val="28504A2C"/>
    <w:multiLevelType w:val="multilevel"/>
    <w:tmpl w:val="67D01DC6"/>
    <w:lvl w:ilvl="0">
      <w:start w:val="1"/>
      <w:numFmt w:val="decimal"/>
      <w:lvlText w:val="%1."/>
      <w:lvlJc w:val="left"/>
      <w:pPr>
        <w:ind w:left="483" w:hanging="252"/>
      </w:pPr>
      <w:rPr>
        <w:rFonts w:ascii="Calibri" w:eastAsia="Calibri" w:hAnsi="Calibri" w:cs="Calibri"/>
        <w:b/>
        <w:i w:val="0"/>
        <w:sz w:val="24"/>
        <w:szCs w:val="24"/>
      </w:rPr>
    </w:lvl>
    <w:lvl w:ilvl="1">
      <w:start w:val="1"/>
      <w:numFmt w:val="lowerLetter"/>
      <w:lvlText w:val="%2)"/>
      <w:lvlJc w:val="left"/>
      <w:pPr>
        <w:ind w:left="1491" w:hanging="544"/>
      </w:pPr>
    </w:lvl>
    <w:lvl w:ilvl="2">
      <w:numFmt w:val="bullet"/>
      <w:lvlText w:val="•"/>
      <w:lvlJc w:val="left"/>
      <w:pPr>
        <w:ind w:left="2467" w:hanging="544"/>
      </w:pPr>
    </w:lvl>
    <w:lvl w:ilvl="3">
      <w:numFmt w:val="bullet"/>
      <w:lvlText w:val="•"/>
      <w:lvlJc w:val="left"/>
      <w:pPr>
        <w:ind w:left="3435" w:hanging="544"/>
      </w:pPr>
    </w:lvl>
    <w:lvl w:ilvl="4">
      <w:numFmt w:val="bullet"/>
      <w:lvlText w:val="•"/>
      <w:lvlJc w:val="left"/>
      <w:pPr>
        <w:ind w:left="4403" w:hanging="543"/>
      </w:pPr>
    </w:lvl>
    <w:lvl w:ilvl="5">
      <w:numFmt w:val="bullet"/>
      <w:lvlText w:val="•"/>
      <w:lvlJc w:val="left"/>
      <w:pPr>
        <w:ind w:left="5371" w:hanging="544"/>
      </w:pPr>
    </w:lvl>
    <w:lvl w:ilvl="6">
      <w:numFmt w:val="bullet"/>
      <w:lvlText w:val="•"/>
      <w:lvlJc w:val="left"/>
      <w:pPr>
        <w:ind w:left="6338" w:hanging="544"/>
      </w:pPr>
    </w:lvl>
    <w:lvl w:ilvl="7">
      <w:numFmt w:val="bullet"/>
      <w:lvlText w:val="•"/>
      <w:lvlJc w:val="left"/>
      <w:pPr>
        <w:ind w:left="7306" w:hanging="544"/>
      </w:pPr>
    </w:lvl>
    <w:lvl w:ilvl="8">
      <w:numFmt w:val="bullet"/>
      <w:lvlText w:val="•"/>
      <w:lvlJc w:val="left"/>
      <w:pPr>
        <w:ind w:left="8274" w:hanging="544"/>
      </w:pPr>
    </w:lvl>
  </w:abstractNum>
  <w:abstractNum w:abstractNumId="23" w15:restartNumberingAfterBreak="0">
    <w:nsid w:val="299B4C1E"/>
    <w:multiLevelType w:val="multilevel"/>
    <w:tmpl w:val="BB7C32CE"/>
    <w:lvl w:ilvl="0">
      <w:start w:val="1"/>
      <w:numFmt w:val="decimal"/>
      <w:lvlText w:val="%1."/>
      <w:lvlJc w:val="left"/>
      <w:pPr>
        <w:ind w:left="483" w:hanging="264"/>
      </w:pPr>
      <w:rPr>
        <w:rFonts w:ascii="Calibri" w:eastAsia="Calibri" w:hAnsi="Calibri" w:cs="Calibri"/>
        <w:b/>
        <w:i w:val="0"/>
        <w:sz w:val="24"/>
        <w:szCs w:val="24"/>
      </w:rPr>
    </w:lvl>
    <w:lvl w:ilvl="1">
      <w:numFmt w:val="bullet"/>
      <w:lvlText w:val="•"/>
      <w:lvlJc w:val="left"/>
      <w:pPr>
        <w:ind w:left="1453" w:hanging="264"/>
      </w:pPr>
    </w:lvl>
    <w:lvl w:ilvl="2">
      <w:numFmt w:val="bullet"/>
      <w:lvlText w:val="•"/>
      <w:lvlJc w:val="left"/>
      <w:pPr>
        <w:ind w:left="2426" w:hanging="264"/>
      </w:pPr>
    </w:lvl>
    <w:lvl w:ilvl="3">
      <w:numFmt w:val="bullet"/>
      <w:lvlText w:val="•"/>
      <w:lvlJc w:val="left"/>
      <w:pPr>
        <w:ind w:left="3399" w:hanging="264"/>
      </w:pPr>
    </w:lvl>
    <w:lvl w:ilvl="4">
      <w:numFmt w:val="bullet"/>
      <w:lvlText w:val="•"/>
      <w:lvlJc w:val="left"/>
      <w:pPr>
        <w:ind w:left="4372" w:hanging="264"/>
      </w:pPr>
    </w:lvl>
    <w:lvl w:ilvl="5">
      <w:numFmt w:val="bullet"/>
      <w:lvlText w:val="•"/>
      <w:lvlJc w:val="left"/>
      <w:pPr>
        <w:ind w:left="5345" w:hanging="264"/>
      </w:pPr>
    </w:lvl>
    <w:lvl w:ilvl="6">
      <w:numFmt w:val="bullet"/>
      <w:lvlText w:val="•"/>
      <w:lvlJc w:val="left"/>
      <w:pPr>
        <w:ind w:left="6318" w:hanging="264"/>
      </w:pPr>
    </w:lvl>
    <w:lvl w:ilvl="7">
      <w:numFmt w:val="bullet"/>
      <w:lvlText w:val="•"/>
      <w:lvlJc w:val="left"/>
      <w:pPr>
        <w:ind w:left="7291" w:hanging="264"/>
      </w:pPr>
    </w:lvl>
    <w:lvl w:ilvl="8">
      <w:numFmt w:val="bullet"/>
      <w:lvlText w:val="•"/>
      <w:lvlJc w:val="left"/>
      <w:pPr>
        <w:ind w:left="8264" w:hanging="264"/>
      </w:pPr>
    </w:lvl>
  </w:abstractNum>
  <w:abstractNum w:abstractNumId="24" w15:restartNumberingAfterBreak="0">
    <w:nsid w:val="2B8E27E0"/>
    <w:multiLevelType w:val="multilevel"/>
    <w:tmpl w:val="F6C46E32"/>
    <w:lvl w:ilvl="0">
      <w:start w:val="1"/>
      <w:numFmt w:val="decimal"/>
      <w:lvlText w:val="%1."/>
      <w:lvlJc w:val="left"/>
      <w:pPr>
        <w:ind w:left="483" w:hanging="236"/>
      </w:pPr>
      <w:rPr>
        <w:b/>
        <w:sz w:val="24"/>
        <w:szCs w:val="24"/>
      </w:rPr>
    </w:lvl>
    <w:lvl w:ilvl="1">
      <w:numFmt w:val="bullet"/>
      <w:lvlText w:val="•"/>
      <w:lvlJc w:val="left"/>
      <w:pPr>
        <w:ind w:left="1453" w:hanging="235"/>
      </w:pPr>
    </w:lvl>
    <w:lvl w:ilvl="2">
      <w:numFmt w:val="bullet"/>
      <w:lvlText w:val="•"/>
      <w:lvlJc w:val="left"/>
      <w:pPr>
        <w:ind w:left="2426" w:hanging="236"/>
      </w:pPr>
    </w:lvl>
    <w:lvl w:ilvl="3">
      <w:numFmt w:val="bullet"/>
      <w:lvlText w:val="•"/>
      <w:lvlJc w:val="left"/>
      <w:pPr>
        <w:ind w:left="3399" w:hanging="236"/>
      </w:pPr>
    </w:lvl>
    <w:lvl w:ilvl="4">
      <w:numFmt w:val="bullet"/>
      <w:lvlText w:val="•"/>
      <w:lvlJc w:val="left"/>
      <w:pPr>
        <w:ind w:left="4372" w:hanging="236"/>
      </w:pPr>
    </w:lvl>
    <w:lvl w:ilvl="5">
      <w:numFmt w:val="bullet"/>
      <w:lvlText w:val="•"/>
      <w:lvlJc w:val="left"/>
      <w:pPr>
        <w:ind w:left="5345" w:hanging="236"/>
      </w:pPr>
    </w:lvl>
    <w:lvl w:ilvl="6">
      <w:numFmt w:val="bullet"/>
      <w:lvlText w:val="•"/>
      <w:lvlJc w:val="left"/>
      <w:pPr>
        <w:ind w:left="6318" w:hanging="236"/>
      </w:pPr>
    </w:lvl>
    <w:lvl w:ilvl="7">
      <w:numFmt w:val="bullet"/>
      <w:lvlText w:val="•"/>
      <w:lvlJc w:val="left"/>
      <w:pPr>
        <w:ind w:left="7291" w:hanging="236"/>
      </w:pPr>
    </w:lvl>
    <w:lvl w:ilvl="8">
      <w:numFmt w:val="bullet"/>
      <w:lvlText w:val="•"/>
      <w:lvlJc w:val="left"/>
      <w:pPr>
        <w:ind w:left="8264" w:hanging="236"/>
      </w:pPr>
    </w:lvl>
  </w:abstractNum>
  <w:abstractNum w:abstractNumId="25" w15:restartNumberingAfterBreak="0">
    <w:nsid w:val="2B8F45CB"/>
    <w:multiLevelType w:val="multilevel"/>
    <w:tmpl w:val="91060CC6"/>
    <w:lvl w:ilvl="0">
      <w:start w:val="1"/>
      <w:numFmt w:val="lowerLetter"/>
      <w:lvlText w:val="%1)"/>
      <w:lvlJc w:val="left"/>
      <w:pPr>
        <w:ind w:left="1461" w:hanging="360"/>
      </w:pPr>
    </w:lvl>
    <w:lvl w:ilvl="1">
      <w:start w:val="1"/>
      <w:numFmt w:val="lowerLetter"/>
      <w:lvlText w:val="%2."/>
      <w:lvlJc w:val="left"/>
      <w:pPr>
        <w:ind w:left="2181" w:hanging="360"/>
      </w:pPr>
    </w:lvl>
    <w:lvl w:ilvl="2">
      <w:start w:val="1"/>
      <w:numFmt w:val="lowerRoman"/>
      <w:lvlText w:val="%3."/>
      <w:lvlJc w:val="right"/>
      <w:pPr>
        <w:ind w:left="2901" w:hanging="180"/>
      </w:pPr>
    </w:lvl>
    <w:lvl w:ilvl="3">
      <w:start w:val="1"/>
      <w:numFmt w:val="decimal"/>
      <w:lvlText w:val="%4."/>
      <w:lvlJc w:val="left"/>
      <w:pPr>
        <w:ind w:left="3621" w:hanging="360"/>
      </w:pPr>
    </w:lvl>
    <w:lvl w:ilvl="4">
      <w:start w:val="1"/>
      <w:numFmt w:val="lowerLetter"/>
      <w:lvlText w:val="%5."/>
      <w:lvlJc w:val="left"/>
      <w:pPr>
        <w:ind w:left="4341" w:hanging="360"/>
      </w:pPr>
    </w:lvl>
    <w:lvl w:ilvl="5">
      <w:start w:val="1"/>
      <w:numFmt w:val="lowerRoman"/>
      <w:lvlText w:val="%6."/>
      <w:lvlJc w:val="right"/>
      <w:pPr>
        <w:ind w:left="5061" w:hanging="180"/>
      </w:pPr>
    </w:lvl>
    <w:lvl w:ilvl="6">
      <w:start w:val="1"/>
      <w:numFmt w:val="decimal"/>
      <w:lvlText w:val="%7."/>
      <w:lvlJc w:val="left"/>
      <w:pPr>
        <w:ind w:left="5781" w:hanging="360"/>
      </w:pPr>
    </w:lvl>
    <w:lvl w:ilvl="7">
      <w:start w:val="1"/>
      <w:numFmt w:val="lowerLetter"/>
      <w:lvlText w:val="%8."/>
      <w:lvlJc w:val="left"/>
      <w:pPr>
        <w:ind w:left="6501" w:hanging="360"/>
      </w:pPr>
    </w:lvl>
    <w:lvl w:ilvl="8">
      <w:start w:val="1"/>
      <w:numFmt w:val="lowerRoman"/>
      <w:lvlText w:val="%9."/>
      <w:lvlJc w:val="right"/>
      <w:pPr>
        <w:ind w:left="7221" w:hanging="180"/>
      </w:pPr>
    </w:lvl>
  </w:abstractNum>
  <w:abstractNum w:abstractNumId="26" w15:restartNumberingAfterBreak="0">
    <w:nsid w:val="2F156A54"/>
    <w:multiLevelType w:val="multilevel"/>
    <w:tmpl w:val="C0528F56"/>
    <w:lvl w:ilvl="0">
      <w:start w:val="1"/>
      <w:numFmt w:val="lowerLetter"/>
      <w:lvlText w:val="%1)"/>
      <w:lvlJc w:val="left"/>
      <w:pPr>
        <w:ind w:left="1202" w:hanging="360"/>
      </w:pPr>
    </w:lvl>
    <w:lvl w:ilvl="1">
      <w:start w:val="1"/>
      <w:numFmt w:val="lowerLetter"/>
      <w:lvlText w:val="%2."/>
      <w:lvlJc w:val="left"/>
      <w:pPr>
        <w:ind w:left="1922" w:hanging="360"/>
      </w:pPr>
    </w:lvl>
    <w:lvl w:ilvl="2">
      <w:start w:val="1"/>
      <w:numFmt w:val="lowerRoman"/>
      <w:lvlText w:val="%3."/>
      <w:lvlJc w:val="right"/>
      <w:pPr>
        <w:ind w:left="2642" w:hanging="180"/>
      </w:pPr>
    </w:lvl>
    <w:lvl w:ilvl="3">
      <w:start w:val="1"/>
      <w:numFmt w:val="decimal"/>
      <w:lvlText w:val="%4."/>
      <w:lvlJc w:val="left"/>
      <w:pPr>
        <w:ind w:left="3362" w:hanging="360"/>
      </w:pPr>
    </w:lvl>
    <w:lvl w:ilvl="4">
      <w:start w:val="1"/>
      <w:numFmt w:val="lowerLetter"/>
      <w:lvlText w:val="%5."/>
      <w:lvlJc w:val="left"/>
      <w:pPr>
        <w:ind w:left="4082" w:hanging="360"/>
      </w:pPr>
    </w:lvl>
    <w:lvl w:ilvl="5">
      <w:start w:val="1"/>
      <w:numFmt w:val="lowerRoman"/>
      <w:lvlText w:val="%6."/>
      <w:lvlJc w:val="right"/>
      <w:pPr>
        <w:ind w:left="4802" w:hanging="180"/>
      </w:pPr>
    </w:lvl>
    <w:lvl w:ilvl="6">
      <w:start w:val="1"/>
      <w:numFmt w:val="decimal"/>
      <w:lvlText w:val="%7."/>
      <w:lvlJc w:val="left"/>
      <w:pPr>
        <w:ind w:left="5522" w:hanging="360"/>
      </w:pPr>
    </w:lvl>
    <w:lvl w:ilvl="7">
      <w:start w:val="1"/>
      <w:numFmt w:val="lowerLetter"/>
      <w:lvlText w:val="%8."/>
      <w:lvlJc w:val="left"/>
      <w:pPr>
        <w:ind w:left="6242" w:hanging="360"/>
      </w:pPr>
    </w:lvl>
    <w:lvl w:ilvl="8">
      <w:start w:val="1"/>
      <w:numFmt w:val="lowerRoman"/>
      <w:lvlText w:val="%9."/>
      <w:lvlJc w:val="right"/>
      <w:pPr>
        <w:ind w:left="6962" w:hanging="180"/>
      </w:pPr>
    </w:lvl>
  </w:abstractNum>
  <w:abstractNum w:abstractNumId="27" w15:restartNumberingAfterBreak="0">
    <w:nsid w:val="2F5E5B79"/>
    <w:multiLevelType w:val="multilevel"/>
    <w:tmpl w:val="D846869A"/>
    <w:lvl w:ilvl="0">
      <w:start w:val="1"/>
      <w:numFmt w:val="decimal"/>
      <w:lvlText w:val="%1."/>
      <w:lvlJc w:val="left"/>
      <w:pPr>
        <w:ind w:left="730" w:hanging="237"/>
      </w:pPr>
      <w:rPr>
        <w:rFonts w:ascii="Calibri" w:eastAsia="Calibri" w:hAnsi="Calibri" w:cs="Calibri"/>
        <w:b/>
        <w:i w:val="0"/>
        <w:sz w:val="24"/>
        <w:szCs w:val="24"/>
      </w:rPr>
    </w:lvl>
    <w:lvl w:ilvl="1">
      <w:numFmt w:val="bullet"/>
      <w:lvlText w:val="•"/>
      <w:lvlJc w:val="left"/>
      <w:pPr>
        <w:ind w:left="1687" w:hanging="237"/>
      </w:pPr>
    </w:lvl>
    <w:lvl w:ilvl="2">
      <w:numFmt w:val="bullet"/>
      <w:lvlText w:val="•"/>
      <w:lvlJc w:val="left"/>
      <w:pPr>
        <w:ind w:left="2634" w:hanging="237"/>
      </w:pPr>
    </w:lvl>
    <w:lvl w:ilvl="3">
      <w:numFmt w:val="bullet"/>
      <w:lvlText w:val="•"/>
      <w:lvlJc w:val="left"/>
      <w:pPr>
        <w:ind w:left="3581" w:hanging="236"/>
      </w:pPr>
    </w:lvl>
    <w:lvl w:ilvl="4">
      <w:numFmt w:val="bullet"/>
      <w:lvlText w:val="•"/>
      <w:lvlJc w:val="left"/>
      <w:pPr>
        <w:ind w:left="4528" w:hanging="237"/>
      </w:pPr>
    </w:lvl>
    <w:lvl w:ilvl="5">
      <w:numFmt w:val="bullet"/>
      <w:lvlText w:val="•"/>
      <w:lvlJc w:val="left"/>
      <w:pPr>
        <w:ind w:left="5475" w:hanging="237"/>
      </w:pPr>
    </w:lvl>
    <w:lvl w:ilvl="6">
      <w:numFmt w:val="bullet"/>
      <w:lvlText w:val="•"/>
      <w:lvlJc w:val="left"/>
      <w:pPr>
        <w:ind w:left="6422" w:hanging="237"/>
      </w:pPr>
    </w:lvl>
    <w:lvl w:ilvl="7">
      <w:numFmt w:val="bullet"/>
      <w:lvlText w:val="•"/>
      <w:lvlJc w:val="left"/>
      <w:pPr>
        <w:ind w:left="7369" w:hanging="237"/>
      </w:pPr>
    </w:lvl>
    <w:lvl w:ilvl="8">
      <w:numFmt w:val="bullet"/>
      <w:lvlText w:val="•"/>
      <w:lvlJc w:val="left"/>
      <w:pPr>
        <w:ind w:left="8316" w:hanging="237"/>
      </w:pPr>
    </w:lvl>
  </w:abstractNum>
  <w:abstractNum w:abstractNumId="28" w15:restartNumberingAfterBreak="0">
    <w:nsid w:val="30210EF0"/>
    <w:multiLevelType w:val="multilevel"/>
    <w:tmpl w:val="720A6A52"/>
    <w:lvl w:ilvl="0">
      <w:start w:val="1"/>
      <w:numFmt w:val="decimal"/>
      <w:lvlText w:val="%1."/>
      <w:lvlJc w:val="left"/>
      <w:pPr>
        <w:ind w:left="483" w:hanging="262"/>
      </w:pPr>
      <w:rPr>
        <w:rFonts w:ascii="Calibri" w:eastAsia="Calibri" w:hAnsi="Calibri" w:cs="Calibri"/>
        <w:b/>
        <w:i w:val="0"/>
        <w:sz w:val="24"/>
        <w:szCs w:val="24"/>
      </w:rPr>
    </w:lvl>
    <w:lvl w:ilvl="1">
      <w:numFmt w:val="bullet"/>
      <w:lvlText w:val="•"/>
      <w:lvlJc w:val="left"/>
      <w:pPr>
        <w:ind w:left="1453" w:hanging="262"/>
      </w:pPr>
    </w:lvl>
    <w:lvl w:ilvl="2">
      <w:numFmt w:val="bullet"/>
      <w:lvlText w:val="•"/>
      <w:lvlJc w:val="left"/>
      <w:pPr>
        <w:ind w:left="2426" w:hanging="262"/>
      </w:pPr>
    </w:lvl>
    <w:lvl w:ilvl="3">
      <w:numFmt w:val="bullet"/>
      <w:lvlText w:val="•"/>
      <w:lvlJc w:val="left"/>
      <w:pPr>
        <w:ind w:left="3399" w:hanging="262"/>
      </w:pPr>
    </w:lvl>
    <w:lvl w:ilvl="4">
      <w:numFmt w:val="bullet"/>
      <w:lvlText w:val="•"/>
      <w:lvlJc w:val="left"/>
      <w:pPr>
        <w:ind w:left="4372" w:hanging="262"/>
      </w:pPr>
    </w:lvl>
    <w:lvl w:ilvl="5">
      <w:numFmt w:val="bullet"/>
      <w:lvlText w:val="•"/>
      <w:lvlJc w:val="left"/>
      <w:pPr>
        <w:ind w:left="5345" w:hanging="262"/>
      </w:pPr>
    </w:lvl>
    <w:lvl w:ilvl="6">
      <w:numFmt w:val="bullet"/>
      <w:lvlText w:val="•"/>
      <w:lvlJc w:val="left"/>
      <w:pPr>
        <w:ind w:left="6318" w:hanging="262"/>
      </w:pPr>
    </w:lvl>
    <w:lvl w:ilvl="7">
      <w:numFmt w:val="bullet"/>
      <w:lvlText w:val="•"/>
      <w:lvlJc w:val="left"/>
      <w:pPr>
        <w:ind w:left="7291" w:hanging="262"/>
      </w:pPr>
    </w:lvl>
    <w:lvl w:ilvl="8">
      <w:numFmt w:val="bullet"/>
      <w:lvlText w:val="•"/>
      <w:lvlJc w:val="left"/>
      <w:pPr>
        <w:ind w:left="8264" w:hanging="262"/>
      </w:pPr>
    </w:lvl>
  </w:abstractNum>
  <w:abstractNum w:abstractNumId="29" w15:restartNumberingAfterBreak="0">
    <w:nsid w:val="30DE651C"/>
    <w:multiLevelType w:val="multilevel"/>
    <w:tmpl w:val="53821976"/>
    <w:lvl w:ilvl="0">
      <w:start w:val="1"/>
      <w:numFmt w:val="decimal"/>
      <w:lvlText w:val="%1."/>
      <w:lvlJc w:val="left"/>
      <w:pPr>
        <w:ind w:left="494" w:hanging="270"/>
      </w:pPr>
      <w:rPr>
        <w:b/>
        <w:color w:val="000000"/>
      </w:rPr>
    </w:lvl>
    <w:lvl w:ilvl="1">
      <w:numFmt w:val="bullet"/>
      <w:lvlText w:val="•"/>
      <w:lvlJc w:val="left"/>
      <w:pPr>
        <w:ind w:left="1471" w:hanging="270"/>
      </w:pPr>
    </w:lvl>
    <w:lvl w:ilvl="2">
      <w:numFmt w:val="bullet"/>
      <w:lvlText w:val="•"/>
      <w:lvlJc w:val="left"/>
      <w:pPr>
        <w:ind w:left="2442" w:hanging="270"/>
      </w:pPr>
    </w:lvl>
    <w:lvl w:ilvl="3">
      <w:numFmt w:val="bullet"/>
      <w:lvlText w:val="•"/>
      <w:lvlJc w:val="left"/>
      <w:pPr>
        <w:ind w:left="3413" w:hanging="270"/>
      </w:pPr>
    </w:lvl>
    <w:lvl w:ilvl="4">
      <w:numFmt w:val="bullet"/>
      <w:lvlText w:val="•"/>
      <w:lvlJc w:val="left"/>
      <w:pPr>
        <w:ind w:left="4384" w:hanging="270"/>
      </w:pPr>
    </w:lvl>
    <w:lvl w:ilvl="5">
      <w:numFmt w:val="bullet"/>
      <w:lvlText w:val="•"/>
      <w:lvlJc w:val="left"/>
      <w:pPr>
        <w:ind w:left="5355" w:hanging="270"/>
      </w:pPr>
    </w:lvl>
    <w:lvl w:ilvl="6">
      <w:numFmt w:val="bullet"/>
      <w:lvlText w:val="•"/>
      <w:lvlJc w:val="left"/>
      <w:pPr>
        <w:ind w:left="6326" w:hanging="270"/>
      </w:pPr>
    </w:lvl>
    <w:lvl w:ilvl="7">
      <w:numFmt w:val="bullet"/>
      <w:lvlText w:val="•"/>
      <w:lvlJc w:val="left"/>
      <w:pPr>
        <w:ind w:left="7297" w:hanging="270"/>
      </w:pPr>
    </w:lvl>
    <w:lvl w:ilvl="8">
      <w:numFmt w:val="bullet"/>
      <w:lvlText w:val="•"/>
      <w:lvlJc w:val="left"/>
      <w:pPr>
        <w:ind w:left="8268" w:hanging="270"/>
      </w:pPr>
    </w:lvl>
  </w:abstractNum>
  <w:abstractNum w:abstractNumId="30" w15:restartNumberingAfterBreak="0">
    <w:nsid w:val="329B1344"/>
    <w:multiLevelType w:val="multilevel"/>
    <w:tmpl w:val="7842003E"/>
    <w:lvl w:ilvl="0">
      <w:start w:val="1"/>
      <w:numFmt w:val="decimal"/>
      <w:lvlText w:val="%1."/>
      <w:lvlJc w:val="left"/>
      <w:pPr>
        <w:ind w:left="483" w:hanging="244"/>
      </w:pPr>
      <w:rPr>
        <w:b/>
      </w:rPr>
    </w:lvl>
    <w:lvl w:ilvl="1">
      <w:numFmt w:val="bullet"/>
      <w:lvlText w:val="•"/>
      <w:lvlJc w:val="left"/>
      <w:pPr>
        <w:ind w:left="1453" w:hanging="244"/>
      </w:pPr>
    </w:lvl>
    <w:lvl w:ilvl="2">
      <w:numFmt w:val="bullet"/>
      <w:lvlText w:val="•"/>
      <w:lvlJc w:val="left"/>
      <w:pPr>
        <w:ind w:left="2426" w:hanging="244"/>
      </w:pPr>
    </w:lvl>
    <w:lvl w:ilvl="3">
      <w:numFmt w:val="bullet"/>
      <w:lvlText w:val="•"/>
      <w:lvlJc w:val="left"/>
      <w:pPr>
        <w:ind w:left="3399" w:hanging="244"/>
      </w:pPr>
    </w:lvl>
    <w:lvl w:ilvl="4">
      <w:numFmt w:val="bullet"/>
      <w:lvlText w:val="•"/>
      <w:lvlJc w:val="left"/>
      <w:pPr>
        <w:ind w:left="4372" w:hanging="244"/>
      </w:pPr>
    </w:lvl>
    <w:lvl w:ilvl="5">
      <w:numFmt w:val="bullet"/>
      <w:lvlText w:val="•"/>
      <w:lvlJc w:val="left"/>
      <w:pPr>
        <w:ind w:left="5345" w:hanging="244"/>
      </w:pPr>
    </w:lvl>
    <w:lvl w:ilvl="6">
      <w:numFmt w:val="bullet"/>
      <w:lvlText w:val="•"/>
      <w:lvlJc w:val="left"/>
      <w:pPr>
        <w:ind w:left="6318" w:hanging="244"/>
      </w:pPr>
    </w:lvl>
    <w:lvl w:ilvl="7">
      <w:numFmt w:val="bullet"/>
      <w:lvlText w:val="•"/>
      <w:lvlJc w:val="left"/>
      <w:pPr>
        <w:ind w:left="7291" w:hanging="244"/>
      </w:pPr>
    </w:lvl>
    <w:lvl w:ilvl="8">
      <w:numFmt w:val="bullet"/>
      <w:lvlText w:val="•"/>
      <w:lvlJc w:val="left"/>
      <w:pPr>
        <w:ind w:left="8264" w:hanging="244"/>
      </w:pPr>
    </w:lvl>
  </w:abstractNum>
  <w:abstractNum w:abstractNumId="31" w15:restartNumberingAfterBreak="0">
    <w:nsid w:val="342F202C"/>
    <w:multiLevelType w:val="multilevel"/>
    <w:tmpl w:val="EAB82528"/>
    <w:lvl w:ilvl="0">
      <w:start w:val="1"/>
      <w:numFmt w:val="decimal"/>
      <w:lvlText w:val="%1."/>
      <w:lvlJc w:val="left"/>
      <w:pPr>
        <w:ind w:left="483" w:hanging="331"/>
      </w:pPr>
      <w:rPr>
        <w:rFonts w:ascii="Calibri" w:eastAsia="Calibri" w:hAnsi="Calibri" w:cs="Calibri"/>
        <w:b/>
        <w:i w:val="0"/>
        <w:sz w:val="24"/>
        <w:szCs w:val="24"/>
      </w:rPr>
    </w:lvl>
    <w:lvl w:ilvl="1">
      <w:numFmt w:val="bullet"/>
      <w:lvlText w:val="•"/>
      <w:lvlJc w:val="left"/>
      <w:pPr>
        <w:ind w:left="1453" w:hanging="330"/>
      </w:pPr>
    </w:lvl>
    <w:lvl w:ilvl="2">
      <w:numFmt w:val="bullet"/>
      <w:lvlText w:val="•"/>
      <w:lvlJc w:val="left"/>
      <w:pPr>
        <w:ind w:left="2426" w:hanging="331"/>
      </w:pPr>
    </w:lvl>
    <w:lvl w:ilvl="3">
      <w:numFmt w:val="bullet"/>
      <w:lvlText w:val="•"/>
      <w:lvlJc w:val="left"/>
      <w:pPr>
        <w:ind w:left="3399" w:hanging="331"/>
      </w:pPr>
    </w:lvl>
    <w:lvl w:ilvl="4">
      <w:numFmt w:val="bullet"/>
      <w:lvlText w:val="•"/>
      <w:lvlJc w:val="left"/>
      <w:pPr>
        <w:ind w:left="4372" w:hanging="331"/>
      </w:pPr>
    </w:lvl>
    <w:lvl w:ilvl="5">
      <w:numFmt w:val="bullet"/>
      <w:lvlText w:val="•"/>
      <w:lvlJc w:val="left"/>
      <w:pPr>
        <w:ind w:left="5345" w:hanging="331"/>
      </w:pPr>
    </w:lvl>
    <w:lvl w:ilvl="6">
      <w:numFmt w:val="bullet"/>
      <w:lvlText w:val="•"/>
      <w:lvlJc w:val="left"/>
      <w:pPr>
        <w:ind w:left="6318" w:hanging="331"/>
      </w:pPr>
    </w:lvl>
    <w:lvl w:ilvl="7">
      <w:numFmt w:val="bullet"/>
      <w:lvlText w:val="•"/>
      <w:lvlJc w:val="left"/>
      <w:pPr>
        <w:ind w:left="7291" w:hanging="331"/>
      </w:pPr>
    </w:lvl>
    <w:lvl w:ilvl="8">
      <w:numFmt w:val="bullet"/>
      <w:lvlText w:val="•"/>
      <w:lvlJc w:val="left"/>
      <w:pPr>
        <w:ind w:left="8264" w:hanging="331"/>
      </w:pPr>
    </w:lvl>
  </w:abstractNum>
  <w:abstractNum w:abstractNumId="32" w15:restartNumberingAfterBreak="0">
    <w:nsid w:val="34864265"/>
    <w:multiLevelType w:val="multilevel"/>
    <w:tmpl w:val="9E0CD7B8"/>
    <w:lvl w:ilvl="0">
      <w:start w:val="1"/>
      <w:numFmt w:val="decimal"/>
      <w:lvlText w:val="%1."/>
      <w:lvlJc w:val="left"/>
      <w:pPr>
        <w:ind w:left="498" w:hanging="295"/>
      </w:pPr>
      <w:rPr>
        <w:rFonts w:ascii="Calibri" w:eastAsia="Calibri" w:hAnsi="Calibri" w:cs="Calibri"/>
        <w:b/>
        <w:i w:val="0"/>
        <w:sz w:val="24"/>
        <w:szCs w:val="24"/>
      </w:rPr>
    </w:lvl>
    <w:lvl w:ilvl="1">
      <w:numFmt w:val="bullet"/>
      <w:lvlText w:val="•"/>
      <w:lvlJc w:val="left"/>
      <w:pPr>
        <w:ind w:left="1471" w:hanging="295"/>
      </w:pPr>
    </w:lvl>
    <w:lvl w:ilvl="2">
      <w:numFmt w:val="bullet"/>
      <w:lvlText w:val="•"/>
      <w:lvlJc w:val="left"/>
      <w:pPr>
        <w:ind w:left="2442" w:hanging="295"/>
      </w:pPr>
    </w:lvl>
    <w:lvl w:ilvl="3">
      <w:numFmt w:val="bullet"/>
      <w:lvlText w:val="•"/>
      <w:lvlJc w:val="left"/>
      <w:pPr>
        <w:ind w:left="3413" w:hanging="295"/>
      </w:pPr>
    </w:lvl>
    <w:lvl w:ilvl="4">
      <w:numFmt w:val="bullet"/>
      <w:lvlText w:val="•"/>
      <w:lvlJc w:val="left"/>
      <w:pPr>
        <w:ind w:left="4384" w:hanging="295"/>
      </w:pPr>
    </w:lvl>
    <w:lvl w:ilvl="5">
      <w:numFmt w:val="bullet"/>
      <w:lvlText w:val="•"/>
      <w:lvlJc w:val="left"/>
      <w:pPr>
        <w:ind w:left="5355" w:hanging="295"/>
      </w:pPr>
    </w:lvl>
    <w:lvl w:ilvl="6">
      <w:numFmt w:val="bullet"/>
      <w:lvlText w:val="•"/>
      <w:lvlJc w:val="left"/>
      <w:pPr>
        <w:ind w:left="6326" w:hanging="295"/>
      </w:pPr>
    </w:lvl>
    <w:lvl w:ilvl="7">
      <w:numFmt w:val="bullet"/>
      <w:lvlText w:val="•"/>
      <w:lvlJc w:val="left"/>
      <w:pPr>
        <w:ind w:left="7297" w:hanging="295"/>
      </w:pPr>
    </w:lvl>
    <w:lvl w:ilvl="8">
      <w:numFmt w:val="bullet"/>
      <w:lvlText w:val="•"/>
      <w:lvlJc w:val="left"/>
      <w:pPr>
        <w:ind w:left="8268" w:hanging="295"/>
      </w:pPr>
    </w:lvl>
  </w:abstractNum>
  <w:abstractNum w:abstractNumId="33" w15:restartNumberingAfterBreak="0">
    <w:nsid w:val="35A96274"/>
    <w:multiLevelType w:val="multilevel"/>
    <w:tmpl w:val="A2D2E430"/>
    <w:lvl w:ilvl="0">
      <w:start w:val="1"/>
      <w:numFmt w:val="lowerLetter"/>
      <w:lvlText w:val="%1)"/>
      <w:lvlJc w:val="left"/>
      <w:pPr>
        <w:ind w:left="1437" w:hanging="360"/>
      </w:pPr>
    </w:lvl>
    <w:lvl w:ilvl="1">
      <w:start w:val="1"/>
      <w:numFmt w:val="lowerLetter"/>
      <w:lvlText w:val="%2."/>
      <w:lvlJc w:val="left"/>
      <w:pPr>
        <w:ind w:left="2157" w:hanging="360"/>
      </w:pPr>
    </w:lvl>
    <w:lvl w:ilvl="2">
      <w:start w:val="1"/>
      <w:numFmt w:val="lowerRoman"/>
      <w:lvlText w:val="%3."/>
      <w:lvlJc w:val="right"/>
      <w:pPr>
        <w:ind w:left="2877" w:hanging="180"/>
      </w:pPr>
    </w:lvl>
    <w:lvl w:ilvl="3">
      <w:start w:val="1"/>
      <w:numFmt w:val="decimal"/>
      <w:lvlText w:val="%4."/>
      <w:lvlJc w:val="left"/>
      <w:pPr>
        <w:ind w:left="3597" w:hanging="360"/>
      </w:pPr>
    </w:lvl>
    <w:lvl w:ilvl="4">
      <w:start w:val="1"/>
      <w:numFmt w:val="lowerLetter"/>
      <w:lvlText w:val="%5."/>
      <w:lvlJc w:val="left"/>
      <w:pPr>
        <w:ind w:left="4317" w:hanging="360"/>
      </w:pPr>
    </w:lvl>
    <w:lvl w:ilvl="5">
      <w:start w:val="1"/>
      <w:numFmt w:val="lowerRoman"/>
      <w:lvlText w:val="%6."/>
      <w:lvlJc w:val="right"/>
      <w:pPr>
        <w:ind w:left="5037" w:hanging="180"/>
      </w:pPr>
    </w:lvl>
    <w:lvl w:ilvl="6">
      <w:start w:val="1"/>
      <w:numFmt w:val="decimal"/>
      <w:lvlText w:val="%7."/>
      <w:lvlJc w:val="left"/>
      <w:pPr>
        <w:ind w:left="5757" w:hanging="360"/>
      </w:pPr>
    </w:lvl>
    <w:lvl w:ilvl="7">
      <w:start w:val="1"/>
      <w:numFmt w:val="lowerLetter"/>
      <w:lvlText w:val="%8."/>
      <w:lvlJc w:val="left"/>
      <w:pPr>
        <w:ind w:left="6477" w:hanging="360"/>
      </w:pPr>
    </w:lvl>
    <w:lvl w:ilvl="8">
      <w:start w:val="1"/>
      <w:numFmt w:val="lowerRoman"/>
      <w:lvlText w:val="%9."/>
      <w:lvlJc w:val="right"/>
      <w:pPr>
        <w:ind w:left="7197" w:hanging="180"/>
      </w:pPr>
    </w:lvl>
  </w:abstractNum>
  <w:abstractNum w:abstractNumId="34" w15:restartNumberingAfterBreak="0">
    <w:nsid w:val="372705ED"/>
    <w:multiLevelType w:val="multilevel"/>
    <w:tmpl w:val="EE98E484"/>
    <w:lvl w:ilvl="0">
      <w:start w:val="1"/>
      <w:numFmt w:val="decimal"/>
      <w:lvlText w:val="%1."/>
      <w:lvlJc w:val="left"/>
      <w:pPr>
        <w:ind w:left="509" w:hanging="298"/>
      </w:pPr>
      <w:rPr>
        <w:rFonts w:ascii="Calibri" w:eastAsia="Calibri" w:hAnsi="Calibri" w:cs="Calibri"/>
        <w:b/>
        <w:i w:val="0"/>
        <w:sz w:val="24"/>
        <w:szCs w:val="24"/>
      </w:rPr>
    </w:lvl>
    <w:lvl w:ilvl="1">
      <w:numFmt w:val="bullet"/>
      <w:lvlText w:val="•"/>
      <w:lvlJc w:val="left"/>
      <w:pPr>
        <w:ind w:left="1471" w:hanging="298"/>
      </w:pPr>
    </w:lvl>
    <w:lvl w:ilvl="2">
      <w:numFmt w:val="bullet"/>
      <w:lvlText w:val="•"/>
      <w:lvlJc w:val="left"/>
      <w:pPr>
        <w:ind w:left="2442" w:hanging="298"/>
      </w:pPr>
    </w:lvl>
    <w:lvl w:ilvl="3">
      <w:numFmt w:val="bullet"/>
      <w:lvlText w:val="•"/>
      <w:lvlJc w:val="left"/>
      <w:pPr>
        <w:ind w:left="3413" w:hanging="298"/>
      </w:pPr>
    </w:lvl>
    <w:lvl w:ilvl="4">
      <w:numFmt w:val="bullet"/>
      <w:lvlText w:val="•"/>
      <w:lvlJc w:val="left"/>
      <w:pPr>
        <w:ind w:left="4384" w:hanging="298"/>
      </w:pPr>
    </w:lvl>
    <w:lvl w:ilvl="5">
      <w:numFmt w:val="bullet"/>
      <w:lvlText w:val="•"/>
      <w:lvlJc w:val="left"/>
      <w:pPr>
        <w:ind w:left="5355" w:hanging="298"/>
      </w:pPr>
    </w:lvl>
    <w:lvl w:ilvl="6">
      <w:numFmt w:val="bullet"/>
      <w:lvlText w:val="•"/>
      <w:lvlJc w:val="left"/>
      <w:pPr>
        <w:ind w:left="6326" w:hanging="297"/>
      </w:pPr>
    </w:lvl>
    <w:lvl w:ilvl="7">
      <w:numFmt w:val="bullet"/>
      <w:lvlText w:val="•"/>
      <w:lvlJc w:val="left"/>
      <w:pPr>
        <w:ind w:left="7297" w:hanging="297"/>
      </w:pPr>
    </w:lvl>
    <w:lvl w:ilvl="8">
      <w:numFmt w:val="bullet"/>
      <w:lvlText w:val="•"/>
      <w:lvlJc w:val="left"/>
      <w:pPr>
        <w:ind w:left="8268" w:hanging="298"/>
      </w:pPr>
    </w:lvl>
  </w:abstractNum>
  <w:abstractNum w:abstractNumId="35" w15:restartNumberingAfterBreak="0">
    <w:nsid w:val="3770110E"/>
    <w:multiLevelType w:val="multilevel"/>
    <w:tmpl w:val="159413B0"/>
    <w:lvl w:ilvl="0">
      <w:start w:val="1"/>
      <w:numFmt w:val="lowerLetter"/>
      <w:lvlText w:val="%1)"/>
      <w:lvlJc w:val="left"/>
      <w:pPr>
        <w:ind w:left="2211" w:hanging="360"/>
      </w:pPr>
    </w:lvl>
    <w:lvl w:ilvl="1">
      <w:start w:val="1"/>
      <w:numFmt w:val="lowerLetter"/>
      <w:lvlText w:val="%2."/>
      <w:lvlJc w:val="left"/>
      <w:pPr>
        <w:ind w:left="2931" w:hanging="360"/>
      </w:pPr>
    </w:lvl>
    <w:lvl w:ilvl="2">
      <w:start w:val="1"/>
      <w:numFmt w:val="lowerRoman"/>
      <w:lvlText w:val="%3."/>
      <w:lvlJc w:val="right"/>
      <w:pPr>
        <w:ind w:left="3651" w:hanging="180"/>
      </w:pPr>
    </w:lvl>
    <w:lvl w:ilvl="3">
      <w:start w:val="1"/>
      <w:numFmt w:val="decimal"/>
      <w:lvlText w:val="%4."/>
      <w:lvlJc w:val="left"/>
      <w:pPr>
        <w:ind w:left="4371" w:hanging="360"/>
      </w:pPr>
    </w:lvl>
    <w:lvl w:ilvl="4">
      <w:start w:val="1"/>
      <w:numFmt w:val="lowerLetter"/>
      <w:lvlText w:val="%5."/>
      <w:lvlJc w:val="left"/>
      <w:pPr>
        <w:ind w:left="5091" w:hanging="360"/>
      </w:pPr>
    </w:lvl>
    <w:lvl w:ilvl="5">
      <w:start w:val="1"/>
      <w:numFmt w:val="lowerRoman"/>
      <w:lvlText w:val="%6."/>
      <w:lvlJc w:val="right"/>
      <w:pPr>
        <w:ind w:left="5811" w:hanging="180"/>
      </w:pPr>
    </w:lvl>
    <w:lvl w:ilvl="6">
      <w:start w:val="1"/>
      <w:numFmt w:val="decimal"/>
      <w:lvlText w:val="%7."/>
      <w:lvlJc w:val="left"/>
      <w:pPr>
        <w:ind w:left="6531" w:hanging="360"/>
      </w:pPr>
    </w:lvl>
    <w:lvl w:ilvl="7">
      <w:start w:val="1"/>
      <w:numFmt w:val="lowerLetter"/>
      <w:lvlText w:val="%8."/>
      <w:lvlJc w:val="left"/>
      <w:pPr>
        <w:ind w:left="7251" w:hanging="360"/>
      </w:pPr>
    </w:lvl>
    <w:lvl w:ilvl="8">
      <w:start w:val="1"/>
      <w:numFmt w:val="lowerRoman"/>
      <w:lvlText w:val="%9."/>
      <w:lvlJc w:val="right"/>
      <w:pPr>
        <w:ind w:left="7971" w:hanging="180"/>
      </w:pPr>
    </w:lvl>
  </w:abstractNum>
  <w:abstractNum w:abstractNumId="36" w15:restartNumberingAfterBreak="0">
    <w:nsid w:val="39D85017"/>
    <w:multiLevelType w:val="multilevel"/>
    <w:tmpl w:val="A3D808AA"/>
    <w:lvl w:ilvl="0">
      <w:start w:val="1"/>
      <w:numFmt w:val="decimal"/>
      <w:lvlText w:val="%1."/>
      <w:lvlJc w:val="left"/>
      <w:pPr>
        <w:ind w:left="742" w:hanging="237"/>
      </w:pPr>
      <w:rPr>
        <w:rFonts w:ascii="Calibri" w:eastAsia="Calibri" w:hAnsi="Calibri" w:cs="Calibri"/>
        <w:b/>
        <w:i w:val="0"/>
        <w:sz w:val="24"/>
        <w:szCs w:val="24"/>
      </w:rPr>
    </w:lvl>
    <w:lvl w:ilvl="1">
      <w:start w:val="1"/>
      <w:numFmt w:val="lowerLetter"/>
      <w:lvlText w:val="%2)"/>
      <w:lvlJc w:val="left"/>
      <w:pPr>
        <w:ind w:left="1538" w:hanging="581"/>
      </w:pPr>
    </w:lvl>
    <w:lvl w:ilvl="2">
      <w:numFmt w:val="bullet"/>
      <w:lvlText w:val="•"/>
      <w:lvlJc w:val="left"/>
      <w:pPr>
        <w:ind w:left="2503" w:hanging="583"/>
      </w:pPr>
    </w:lvl>
    <w:lvl w:ilvl="3">
      <w:numFmt w:val="bullet"/>
      <w:lvlText w:val="•"/>
      <w:lvlJc w:val="left"/>
      <w:pPr>
        <w:ind w:left="3466" w:hanging="583"/>
      </w:pPr>
    </w:lvl>
    <w:lvl w:ilvl="4">
      <w:numFmt w:val="bullet"/>
      <w:lvlText w:val="•"/>
      <w:lvlJc w:val="left"/>
      <w:pPr>
        <w:ind w:left="4430" w:hanging="583"/>
      </w:pPr>
    </w:lvl>
    <w:lvl w:ilvl="5">
      <w:numFmt w:val="bullet"/>
      <w:lvlText w:val="•"/>
      <w:lvlJc w:val="left"/>
      <w:pPr>
        <w:ind w:left="5393" w:hanging="583"/>
      </w:pPr>
    </w:lvl>
    <w:lvl w:ilvl="6">
      <w:numFmt w:val="bullet"/>
      <w:lvlText w:val="•"/>
      <w:lvlJc w:val="left"/>
      <w:pPr>
        <w:ind w:left="6356" w:hanging="582"/>
      </w:pPr>
    </w:lvl>
    <w:lvl w:ilvl="7">
      <w:numFmt w:val="bullet"/>
      <w:lvlText w:val="•"/>
      <w:lvlJc w:val="left"/>
      <w:pPr>
        <w:ind w:left="7320" w:hanging="583"/>
      </w:pPr>
    </w:lvl>
    <w:lvl w:ilvl="8">
      <w:numFmt w:val="bullet"/>
      <w:lvlText w:val="•"/>
      <w:lvlJc w:val="left"/>
      <w:pPr>
        <w:ind w:left="8283" w:hanging="583"/>
      </w:pPr>
    </w:lvl>
  </w:abstractNum>
  <w:abstractNum w:abstractNumId="37" w15:restartNumberingAfterBreak="0">
    <w:nsid w:val="3A3F471E"/>
    <w:multiLevelType w:val="multilevel"/>
    <w:tmpl w:val="3CEA4342"/>
    <w:lvl w:ilvl="0">
      <w:start w:val="1"/>
      <w:numFmt w:val="decimal"/>
      <w:lvlText w:val="%1."/>
      <w:lvlJc w:val="left"/>
      <w:pPr>
        <w:ind w:left="483" w:hanging="312"/>
      </w:pPr>
      <w:rPr>
        <w:rFonts w:ascii="Calibri" w:eastAsia="Calibri" w:hAnsi="Calibri" w:cs="Calibri"/>
        <w:b/>
        <w:i w:val="0"/>
        <w:sz w:val="24"/>
        <w:szCs w:val="24"/>
      </w:rPr>
    </w:lvl>
    <w:lvl w:ilvl="1">
      <w:numFmt w:val="bullet"/>
      <w:lvlText w:val="•"/>
      <w:lvlJc w:val="left"/>
      <w:pPr>
        <w:ind w:left="1453" w:hanging="312"/>
      </w:pPr>
    </w:lvl>
    <w:lvl w:ilvl="2">
      <w:numFmt w:val="bullet"/>
      <w:lvlText w:val="•"/>
      <w:lvlJc w:val="left"/>
      <w:pPr>
        <w:ind w:left="2426" w:hanging="312"/>
      </w:pPr>
    </w:lvl>
    <w:lvl w:ilvl="3">
      <w:numFmt w:val="bullet"/>
      <w:lvlText w:val="•"/>
      <w:lvlJc w:val="left"/>
      <w:pPr>
        <w:ind w:left="3399" w:hanging="312"/>
      </w:pPr>
    </w:lvl>
    <w:lvl w:ilvl="4">
      <w:numFmt w:val="bullet"/>
      <w:lvlText w:val="•"/>
      <w:lvlJc w:val="left"/>
      <w:pPr>
        <w:ind w:left="4372" w:hanging="312"/>
      </w:pPr>
    </w:lvl>
    <w:lvl w:ilvl="5">
      <w:numFmt w:val="bullet"/>
      <w:lvlText w:val="•"/>
      <w:lvlJc w:val="left"/>
      <w:pPr>
        <w:ind w:left="5345" w:hanging="312"/>
      </w:pPr>
    </w:lvl>
    <w:lvl w:ilvl="6">
      <w:numFmt w:val="bullet"/>
      <w:lvlText w:val="•"/>
      <w:lvlJc w:val="left"/>
      <w:pPr>
        <w:ind w:left="6318" w:hanging="312"/>
      </w:pPr>
    </w:lvl>
    <w:lvl w:ilvl="7">
      <w:numFmt w:val="bullet"/>
      <w:lvlText w:val="•"/>
      <w:lvlJc w:val="left"/>
      <w:pPr>
        <w:ind w:left="7291" w:hanging="312"/>
      </w:pPr>
    </w:lvl>
    <w:lvl w:ilvl="8">
      <w:numFmt w:val="bullet"/>
      <w:lvlText w:val="•"/>
      <w:lvlJc w:val="left"/>
      <w:pPr>
        <w:ind w:left="8264" w:hanging="312"/>
      </w:pPr>
    </w:lvl>
  </w:abstractNum>
  <w:abstractNum w:abstractNumId="38" w15:restartNumberingAfterBreak="0">
    <w:nsid w:val="3D3A1F0C"/>
    <w:multiLevelType w:val="multilevel"/>
    <w:tmpl w:val="A4F616E2"/>
    <w:lvl w:ilvl="0">
      <w:start w:val="1"/>
      <w:numFmt w:val="decimal"/>
      <w:lvlText w:val="%1."/>
      <w:lvlJc w:val="left"/>
      <w:pPr>
        <w:ind w:left="511" w:hanging="306"/>
      </w:pPr>
      <w:rPr>
        <w:rFonts w:ascii="Calibri" w:eastAsia="Calibri" w:hAnsi="Calibri" w:cs="Calibri"/>
        <w:b/>
        <w:i w:val="0"/>
        <w:sz w:val="24"/>
        <w:szCs w:val="24"/>
      </w:rPr>
    </w:lvl>
    <w:lvl w:ilvl="1">
      <w:numFmt w:val="bullet"/>
      <w:lvlText w:val="•"/>
      <w:lvlJc w:val="left"/>
      <w:pPr>
        <w:ind w:left="1489" w:hanging="306"/>
      </w:pPr>
    </w:lvl>
    <w:lvl w:ilvl="2">
      <w:numFmt w:val="bullet"/>
      <w:lvlText w:val="•"/>
      <w:lvlJc w:val="left"/>
      <w:pPr>
        <w:ind w:left="2458" w:hanging="306"/>
      </w:pPr>
    </w:lvl>
    <w:lvl w:ilvl="3">
      <w:numFmt w:val="bullet"/>
      <w:lvlText w:val="•"/>
      <w:lvlJc w:val="left"/>
      <w:pPr>
        <w:ind w:left="3427" w:hanging="306"/>
      </w:pPr>
    </w:lvl>
    <w:lvl w:ilvl="4">
      <w:numFmt w:val="bullet"/>
      <w:lvlText w:val="•"/>
      <w:lvlJc w:val="left"/>
      <w:pPr>
        <w:ind w:left="4396" w:hanging="306"/>
      </w:pPr>
    </w:lvl>
    <w:lvl w:ilvl="5">
      <w:numFmt w:val="bullet"/>
      <w:lvlText w:val="•"/>
      <w:lvlJc w:val="left"/>
      <w:pPr>
        <w:ind w:left="5365" w:hanging="306"/>
      </w:pPr>
    </w:lvl>
    <w:lvl w:ilvl="6">
      <w:numFmt w:val="bullet"/>
      <w:lvlText w:val="•"/>
      <w:lvlJc w:val="left"/>
      <w:pPr>
        <w:ind w:left="6334" w:hanging="306"/>
      </w:pPr>
    </w:lvl>
    <w:lvl w:ilvl="7">
      <w:numFmt w:val="bullet"/>
      <w:lvlText w:val="•"/>
      <w:lvlJc w:val="left"/>
      <w:pPr>
        <w:ind w:left="7303" w:hanging="306"/>
      </w:pPr>
    </w:lvl>
    <w:lvl w:ilvl="8">
      <w:numFmt w:val="bullet"/>
      <w:lvlText w:val="•"/>
      <w:lvlJc w:val="left"/>
      <w:pPr>
        <w:ind w:left="8272" w:hanging="306"/>
      </w:pPr>
    </w:lvl>
  </w:abstractNum>
  <w:abstractNum w:abstractNumId="39" w15:restartNumberingAfterBreak="0">
    <w:nsid w:val="42D10EED"/>
    <w:multiLevelType w:val="multilevel"/>
    <w:tmpl w:val="78BAFD00"/>
    <w:lvl w:ilvl="0">
      <w:start w:val="1"/>
      <w:numFmt w:val="decimal"/>
      <w:lvlText w:val="%1."/>
      <w:lvlJc w:val="left"/>
      <w:pPr>
        <w:ind w:left="483" w:hanging="231"/>
      </w:pPr>
      <w:rPr>
        <w:rFonts w:ascii="Calibri" w:eastAsia="Calibri" w:hAnsi="Calibri" w:cs="Calibri"/>
        <w:b w:val="0"/>
        <w:i w:val="0"/>
        <w:sz w:val="24"/>
        <w:szCs w:val="24"/>
      </w:rPr>
    </w:lvl>
    <w:lvl w:ilvl="1">
      <w:numFmt w:val="bullet"/>
      <w:lvlText w:val="•"/>
      <w:lvlJc w:val="left"/>
      <w:pPr>
        <w:ind w:left="1453" w:hanging="230"/>
      </w:pPr>
    </w:lvl>
    <w:lvl w:ilvl="2">
      <w:numFmt w:val="bullet"/>
      <w:lvlText w:val="•"/>
      <w:lvlJc w:val="left"/>
      <w:pPr>
        <w:ind w:left="2426" w:hanging="231"/>
      </w:pPr>
    </w:lvl>
    <w:lvl w:ilvl="3">
      <w:numFmt w:val="bullet"/>
      <w:lvlText w:val="•"/>
      <w:lvlJc w:val="left"/>
      <w:pPr>
        <w:ind w:left="3399" w:hanging="231"/>
      </w:pPr>
    </w:lvl>
    <w:lvl w:ilvl="4">
      <w:numFmt w:val="bullet"/>
      <w:lvlText w:val="•"/>
      <w:lvlJc w:val="left"/>
      <w:pPr>
        <w:ind w:left="4372" w:hanging="231"/>
      </w:pPr>
    </w:lvl>
    <w:lvl w:ilvl="5">
      <w:numFmt w:val="bullet"/>
      <w:lvlText w:val="•"/>
      <w:lvlJc w:val="left"/>
      <w:pPr>
        <w:ind w:left="5345" w:hanging="231"/>
      </w:pPr>
    </w:lvl>
    <w:lvl w:ilvl="6">
      <w:numFmt w:val="bullet"/>
      <w:lvlText w:val="•"/>
      <w:lvlJc w:val="left"/>
      <w:pPr>
        <w:ind w:left="6318" w:hanging="231"/>
      </w:pPr>
    </w:lvl>
    <w:lvl w:ilvl="7">
      <w:numFmt w:val="bullet"/>
      <w:lvlText w:val="•"/>
      <w:lvlJc w:val="left"/>
      <w:pPr>
        <w:ind w:left="7291" w:hanging="231"/>
      </w:pPr>
    </w:lvl>
    <w:lvl w:ilvl="8">
      <w:numFmt w:val="bullet"/>
      <w:lvlText w:val="•"/>
      <w:lvlJc w:val="left"/>
      <w:pPr>
        <w:ind w:left="8264" w:hanging="231"/>
      </w:pPr>
    </w:lvl>
  </w:abstractNum>
  <w:abstractNum w:abstractNumId="40" w15:restartNumberingAfterBreak="0">
    <w:nsid w:val="43B83D02"/>
    <w:multiLevelType w:val="multilevel"/>
    <w:tmpl w:val="78B8A27A"/>
    <w:lvl w:ilvl="0">
      <w:start w:val="1"/>
      <w:numFmt w:val="lowerLetter"/>
      <w:lvlText w:val="%1)"/>
      <w:lvlJc w:val="left"/>
      <w:pPr>
        <w:ind w:left="1487" w:hanging="360"/>
      </w:pPr>
    </w:lvl>
    <w:lvl w:ilvl="1">
      <w:start w:val="1"/>
      <w:numFmt w:val="lowerLetter"/>
      <w:lvlText w:val="%2."/>
      <w:lvlJc w:val="left"/>
      <w:pPr>
        <w:ind w:left="2207" w:hanging="360"/>
      </w:pPr>
    </w:lvl>
    <w:lvl w:ilvl="2">
      <w:start w:val="1"/>
      <w:numFmt w:val="lowerRoman"/>
      <w:lvlText w:val="%3."/>
      <w:lvlJc w:val="right"/>
      <w:pPr>
        <w:ind w:left="2927" w:hanging="180"/>
      </w:pPr>
    </w:lvl>
    <w:lvl w:ilvl="3">
      <w:start w:val="1"/>
      <w:numFmt w:val="decimal"/>
      <w:lvlText w:val="%4."/>
      <w:lvlJc w:val="left"/>
      <w:pPr>
        <w:ind w:left="3647" w:hanging="360"/>
      </w:pPr>
    </w:lvl>
    <w:lvl w:ilvl="4">
      <w:start w:val="1"/>
      <w:numFmt w:val="lowerLetter"/>
      <w:lvlText w:val="%5."/>
      <w:lvlJc w:val="left"/>
      <w:pPr>
        <w:ind w:left="4367" w:hanging="360"/>
      </w:pPr>
    </w:lvl>
    <w:lvl w:ilvl="5">
      <w:start w:val="1"/>
      <w:numFmt w:val="lowerRoman"/>
      <w:lvlText w:val="%6."/>
      <w:lvlJc w:val="right"/>
      <w:pPr>
        <w:ind w:left="5087" w:hanging="180"/>
      </w:pPr>
    </w:lvl>
    <w:lvl w:ilvl="6">
      <w:start w:val="1"/>
      <w:numFmt w:val="decimal"/>
      <w:lvlText w:val="%7."/>
      <w:lvlJc w:val="left"/>
      <w:pPr>
        <w:ind w:left="5807" w:hanging="360"/>
      </w:pPr>
    </w:lvl>
    <w:lvl w:ilvl="7">
      <w:start w:val="1"/>
      <w:numFmt w:val="lowerLetter"/>
      <w:lvlText w:val="%8."/>
      <w:lvlJc w:val="left"/>
      <w:pPr>
        <w:ind w:left="6527" w:hanging="360"/>
      </w:pPr>
    </w:lvl>
    <w:lvl w:ilvl="8">
      <w:start w:val="1"/>
      <w:numFmt w:val="lowerRoman"/>
      <w:lvlText w:val="%9."/>
      <w:lvlJc w:val="right"/>
      <w:pPr>
        <w:ind w:left="7247" w:hanging="180"/>
      </w:pPr>
    </w:lvl>
  </w:abstractNum>
  <w:abstractNum w:abstractNumId="41" w15:restartNumberingAfterBreak="0">
    <w:nsid w:val="44070681"/>
    <w:multiLevelType w:val="multilevel"/>
    <w:tmpl w:val="72409D62"/>
    <w:lvl w:ilvl="0">
      <w:start w:val="1"/>
      <w:numFmt w:val="decimal"/>
      <w:lvlText w:val="%1."/>
      <w:lvlJc w:val="left"/>
      <w:pPr>
        <w:ind w:left="483" w:hanging="384"/>
      </w:pPr>
      <w:rPr>
        <w:rFonts w:ascii="Calibri" w:eastAsia="Calibri" w:hAnsi="Calibri" w:cs="Calibri"/>
        <w:b/>
        <w:i w:val="0"/>
        <w:sz w:val="24"/>
        <w:szCs w:val="24"/>
      </w:rPr>
    </w:lvl>
    <w:lvl w:ilvl="1">
      <w:numFmt w:val="bullet"/>
      <w:lvlText w:val="•"/>
      <w:lvlJc w:val="left"/>
      <w:pPr>
        <w:ind w:left="1453" w:hanging="384"/>
      </w:pPr>
    </w:lvl>
    <w:lvl w:ilvl="2">
      <w:numFmt w:val="bullet"/>
      <w:lvlText w:val="•"/>
      <w:lvlJc w:val="left"/>
      <w:pPr>
        <w:ind w:left="2426" w:hanging="384"/>
      </w:pPr>
    </w:lvl>
    <w:lvl w:ilvl="3">
      <w:numFmt w:val="bullet"/>
      <w:lvlText w:val="•"/>
      <w:lvlJc w:val="left"/>
      <w:pPr>
        <w:ind w:left="3399" w:hanging="384"/>
      </w:pPr>
    </w:lvl>
    <w:lvl w:ilvl="4">
      <w:numFmt w:val="bullet"/>
      <w:lvlText w:val="•"/>
      <w:lvlJc w:val="left"/>
      <w:pPr>
        <w:ind w:left="4372" w:hanging="384"/>
      </w:pPr>
    </w:lvl>
    <w:lvl w:ilvl="5">
      <w:numFmt w:val="bullet"/>
      <w:lvlText w:val="•"/>
      <w:lvlJc w:val="left"/>
      <w:pPr>
        <w:ind w:left="5345" w:hanging="384"/>
      </w:pPr>
    </w:lvl>
    <w:lvl w:ilvl="6">
      <w:numFmt w:val="bullet"/>
      <w:lvlText w:val="•"/>
      <w:lvlJc w:val="left"/>
      <w:pPr>
        <w:ind w:left="6318" w:hanging="384"/>
      </w:pPr>
    </w:lvl>
    <w:lvl w:ilvl="7">
      <w:numFmt w:val="bullet"/>
      <w:lvlText w:val="•"/>
      <w:lvlJc w:val="left"/>
      <w:pPr>
        <w:ind w:left="7291" w:hanging="384"/>
      </w:pPr>
    </w:lvl>
    <w:lvl w:ilvl="8">
      <w:numFmt w:val="bullet"/>
      <w:lvlText w:val="•"/>
      <w:lvlJc w:val="left"/>
      <w:pPr>
        <w:ind w:left="8264" w:hanging="384"/>
      </w:pPr>
    </w:lvl>
  </w:abstractNum>
  <w:abstractNum w:abstractNumId="42" w15:restartNumberingAfterBreak="0">
    <w:nsid w:val="48B91C80"/>
    <w:multiLevelType w:val="multilevel"/>
    <w:tmpl w:val="3C1C54E4"/>
    <w:lvl w:ilvl="0">
      <w:start w:val="1"/>
      <w:numFmt w:val="decimal"/>
      <w:lvlText w:val="%1."/>
      <w:lvlJc w:val="left"/>
      <w:pPr>
        <w:ind w:left="483" w:hanging="271"/>
      </w:pPr>
      <w:rPr>
        <w:rFonts w:ascii="Calibri" w:eastAsia="Calibri" w:hAnsi="Calibri" w:cs="Calibri"/>
        <w:b/>
        <w:i w:val="0"/>
        <w:sz w:val="24"/>
        <w:szCs w:val="24"/>
      </w:rPr>
    </w:lvl>
    <w:lvl w:ilvl="1">
      <w:numFmt w:val="bullet"/>
      <w:lvlText w:val="•"/>
      <w:lvlJc w:val="left"/>
      <w:pPr>
        <w:ind w:left="1453" w:hanging="270"/>
      </w:pPr>
    </w:lvl>
    <w:lvl w:ilvl="2">
      <w:numFmt w:val="bullet"/>
      <w:lvlText w:val="•"/>
      <w:lvlJc w:val="left"/>
      <w:pPr>
        <w:ind w:left="2426" w:hanging="271"/>
      </w:pPr>
    </w:lvl>
    <w:lvl w:ilvl="3">
      <w:numFmt w:val="bullet"/>
      <w:lvlText w:val="•"/>
      <w:lvlJc w:val="left"/>
      <w:pPr>
        <w:ind w:left="3399" w:hanging="271"/>
      </w:pPr>
    </w:lvl>
    <w:lvl w:ilvl="4">
      <w:numFmt w:val="bullet"/>
      <w:lvlText w:val="•"/>
      <w:lvlJc w:val="left"/>
      <w:pPr>
        <w:ind w:left="4372" w:hanging="271"/>
      </w:pPr>
    </w:lvl>
    <w:lvl w:ilvl="5">
      <w:numFmt w:val="bullet"/>
      <w:lvlText w:val="•"/>
      <w:lvlJc w:val="left"/>
      <w:pPr>
        <w:ind w:left="5345" w:hanging="271"/>
      </w:pPr>
    </w:lvl>
    <w:lvl w:ilvl="6">
      <w:numFmt w:val="bullet"/>
      <w:lvlText w:val="•"/>
      <w:lvlJc w:val="left"/>
      <w:pPr>
        <w:ind w:left="6318" w:hanging="271"/>
      </w:pPr>
    </w:lvl>
    <w:lvl w:ilvl="7">
      <w:numFmt w:val="bullet"/>
      <w:lvlText w:val="•"/>
      <w:lvlJc w:val="left"/>
      <w:pPr>
        <w:ind w:left="7291" w:hanging="271"/>
      </w:pPr>
    </w:lvl>
    <w:lvl w:ilvl="8">
      <w:numFmt w:val="bullet"/>
      <w:lvlText w:val="•"/>
      <w:lvlJc w:val="left"/>
      <w:pPr>
        <w:ind w:left="8264" w:hanging="271"/>
      </w:pPr>
    </w:lvl>
  </w:abstractNum>
  <w:abstractNum w:abstractNumId="43" w15:restartNumberingAfterBreak="0">
    <w:nsid w:val="4AF96A52"/>
    <w:multiLevelType w:val="multilevel"/>
    <w:tmpl w:val="534E407C"/>
    <w:lvl w:ilvl="0">
      <w:start w:val="1"/>
      <w:numFmt w:val="decimal"/>
      <w:lvlText w:val="%1."/>
      <w:lvlJc w:val="left"/>
      <w:pPr>
        <w:ind w:left="483" w:hanging="302"/>
      </w:pPr>
      <w:rPr>
        <w:rFonts w:ascii="Calibri" w:eastAsia="Calibri" w:hAnsi="Calibri" w:cs="Calibri"/>
        <w:b/>
        <w:i w:val="0"/>
        <w:sz w:val="24"/>
        <w:szCs w:val="24"/>
      </w:rPr>
    </w:lvl>
    <w:lvl w:ilvl="1">
      <w:start w:val="1"/>
      <w:numFmt w:val="lowerLetter"/>
      <w:lvlText w:val="%2)"/>
      <w:lvlJc w:val="left"/>
      <w:pPr>
        <w:ind w:left="1491" w:hanging="544"/>
      </w:pPr>
    </w:lvl>
    <w:lvl w:ilvl="2">
      <w:numFmt w:val="bullet"/>
      <w:lvlText w:val="•"/>
      <w:lvlJc w:val="left"/>
      <w:pPr>
        <w:ind w:left="2467" w:hanging="544"/>
      </w:pPr>
    </w:lvl>
    <w:lvl w:ilvl="3">
      <w:numFmt w:val="bullet"/>
      <w:lvlText w:val="•"/>
      <w:lvlJc w:val="left"/>
      <w:pPr>
        <w:ind w:left="3435" w:hanging="544"/>
      </w:pPr>
    </w:lvl>
    <w:lvl w:ilvl="4">
      <w:numFmt w:val="bullet"/>
      <w:lvlText w:val="•"/>
      <w:lvlJc w:val="left"/>
      <w:pPr>
        <w:ind w:left="4403" w:hanging="543"/>
      </w:pPr>
    </w:lvl>
    <w:lvl w:ilvl="5">
      <w:numFmt w:val="bullet"/>
      <w:lvlText w:val="•"/>
      <w:lvlJc w:val="left"/>
      <w:pPr>
        <w:ind w:left="5371" w:hanging="544"/>
      </w:pPr>
    </w:lvl>
    <w:lvl w:ilvl="6">
      <w:numFmt w:val="bullet"/>
      <w:lvlText w:val="•"/>
      <w:lvlJc w:val="left"/>
      <w:pPr>
        <w:ind w:left="6338" w:hanging="544"/>
      </w:pPr>
    </w:lvl>
    <w:lvl w:ilvl="7">
      <w:numFmt w:val="bullet"/>
      <w:lvlText w:val="•"/>
      <w:lvlJc w:val="left"/>
      <w:pPr>
        <w:ind w:left="7306" w:hanging="544"/>
      </w:pPr>
    </w:lvl>
    <w:lvl w:ilvl="8">
      <w:numFmt w:val="bullet"/>
      <w:lvlText w:val="•"/>
      <w:lvlJc w:val="left"/>
      <w:pPr>
        <w:ind w:left="8274" w:hanging="544"/>
      </w:pPr>
    </w:lvl>
  </w:abstractNum>
  <w:abstractNum w:abstractNumId="44" w15:restartNumberingAfterBreak="0">
    <w:nsid w:val="4B5C4E4E"/>
    <w:multiLevelType w:val="multilevel"/>
    <w:tmpl w:val="A05C9034"/>
    <w:lvl w:ilvl="0">
      <w:start w:val="1"/>
      <w:numFmt w:val="lowerLetter"/>
      <w:lvlText w:val="%1)"/>
      <w:lvlJc w:val="left"/>
      <w:pPr>
        <w:ind w:left="1512" w:hanging="360"/>
      </w:p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45" w15:restartNumberingAfterBreak="0">
    <w:nsid w:val="4CB159FD"/>
    <w:multiLevelType w:val="multilevel"/>
    <w:tmpl w:val="F5BE2BAC"/>
    <w:lvl w:ilvl="0">
      <w:start w:val="1"/>
      <w:numFmt w:val="decimal"/>
      <w:lvlText w:val="%1."/>
      <w:lvlJc w:val="left"/>
      <w:pPr>
        <w:ind w:left="483" w:hanging="282"/>
      </w:pPr>
      <w:rPr>
        <w:rFonts w:ascii="Calibri" w:eastAsia="Calibri" w:hAnsi="Calibri" w:cs="Calibri"/>
        <w:b/>
        <w:i w:val="0"/>
        <w:sz w:val="24"/>
        <w:szCs w:val="24"/>
      </w:rPr>
    </w:lvl>
    <w:lvl w:ilvl="1">
      <w:start w:val="1"/>
      <w:numFmt w:val="lowerLetter"/>
      <w:lvlText w:val="%2)"/>
      <w:lvlJc w:val="left"/>
      <w:pPr>
        <w:ind w:left="1514" w:hanging="582"/>
      </w:pPr>
      <w:rPr>
        <w:rFonts w:ascii="Tahoma" w:eastAsia="Tahoma" w:hAnsi="Tahoma" w:cs="Tahoma"/>
        <w:b/>
        <w:i w:val="0"/>
        <w:sz w:val="41"/>
        <w:szCs w:val="41"/>
        <w:vertAlign w:val="superscript"/>
      </w:rPr>
    </w:lvl>
    <w:lvl w:ilvl="2">
      <w:numFmt w:val="bullet"/>
      <w:lvlText w:val="•"/>
      <w:lvlJc w:val="left"/>
      <w:pPr>
        <w:ind w:left="2485" w:hanging="583"/>
      </w:pPr>
    </w:lvl>
    <w:lvl w:ilvl="3">
      <w:numFmt w:val="bullet"/>
      <w:lvlText w:val="•"/>
      <w:lvlJc w:val="left"/>
      <w:pPr>
        <w:ind w:left="3451" w:hanging="583"/>
      </w:pPr>
    </w:lvl>
    <w:lvl w:ilvl="4">
      <w:numFmt w:val="bullet"/>
      <w:lvlText w:val="•"/>
      <w:lvlJc w:val="left"/>
      <w:pPr>
        <w:ind w:left="4416" w:hanging="583"/>
      </w:pPr>
    </w:lvl>
    <w:lvl w:ilvl="5">
      <w:numFmt w:val="bullet"/>
      <w:lvlText w:val="•"/>
      <w:lvlJc w:val="left"/>
      <w:pPr>
        <w:ind w:left="5382" w:hanging="583"/>
      </w:pPr>
    </w:lvl>
    <w:lvl w:ilvl="6">
      <w:numFmt w:val="bullet"/>
      <w:lvlText w:val="•"/>
      <w:lvlJc w:val="left"/>
      <w:pPr>
        <w:ind w:left="6347" w:hanging="582"/>
      </w:pPr>
    </w:lvl>
    <w:lvl w:ilvl="7">
      <w:numFmt w:val="bullet"/>
      <w:lvlText w:val="•"/>
      <w:lvlJc w:val="left"/>
      <w:pPr>
        <w:ind w:left="7313" w:hanging="583"/>
      </w:pPr>
    </w:lvl>
    <w:lvl w:ilvl="8">
      <w:numFmt w:val="bullet"/>
      <w:lvlText w:val="•"/>
      <w:lvlJc w:val="left"/>
      <w:pPr>
        <w:ind w:left="8278" w:hanging="583"/>
      </w:pPr>
    </w:lvl>
  </w:abstractNum>
  <w:abstractNum w:abstractNumId="46" w15:restartNumberingAfterBreak="0">
    <w:nsid w:val="55E74C76"/>
    <w:multiLevelType w:val="multilevel"/>
    <w:tmpl w:val="2AB498DE"/>
    <w:lvl w:ilvl="0">
      <w:start w:val="1"/>
      <w:numFmt w:val="lowerLetter"/>
      <w:lvlText w:val="%1)"/>
      <w:lvlJc w:val="left"/>
      <w:pPr>
        <w:ind w:left="2234" w:hanging="360"/>
      </w:pPr>
    </w:lvl>
    <w:lvl w:ilvl="1">
      <w:start w:val="1"/>
      <w:numFmt w:val="lowerLetter"/>
      <w:lvlText w:val="%2."/>
      <w:lvlJc w:val="left"/>
      <w:pPr>
        <w:ind w:left="2954" w:hanging="360"/>
      </w:pPr>
    </w:lvl>
    <w:lvl w:ilvl="2">
      <w:start w:val="1"/>
      <w:numFmt w:val="lowerRoman"/>
      <w:lvlText w:val="%3."/>
      <w:lvlJc w:val="right"/>
      <w:pPr>
        <w:ind w:left="3674" w:hanging="180"/>
      </w:pPr>
    </w:lvl>
    <w:lvl w:ilvl="3">
      <w:start w:val="1"/>
      <w:numFmt w:val="decimal"/>
      <w:lvlText w:val="%4."/>
      <w:lvlJc w:val="left"/>
      <w:pPr>
        <w:ind w:left="4394" w:hanging="360"/>
      </w:pPr>
    </w:lvl>
    <w:lvl w:ilvl="4">
      <w:start w:val="1"/>
      <w:numFmt w:val="lowerLetter"/>
      <w:lvlText w:val="%5."/>
      <w:lvlJc w:val="left"/>
      <w:pPr>
        <w:ind w:left="5114" w:hanging="360"/>
      </w:pPr>
    </w:lvl>
    <w:lvl w:ilvl="5">
      <w:start w:val="1"/>
      <w:numFmt w:val="lowerRoman"/>
      <w:lvlText w:val="%6."/>
      <w:lvlJc w:val="right"/>
      <w:pPr>
        <w:ind w:left="5834" w:hanging="180"/>
      </w:pPr>
    </w:lvl>
    <w:lvl w:ilvl="6">
      <w:start w:val="1"/>
      <w:numFmt w:val="decimal"/>
      <w:lvlText w:val="%7."/>
      <w:lvlJc w:val="left"/>
      <w:pPr>
        <w:ind w:left="6554" w:hanging="360"/>
      </w:pPr>
    </w:lvl>
    <w:lvl w:ilvl="7">
      <w:start w:val="1"/>
      <w:numFmt w:val="lowerLetter"/>
      <w:lvlText w:val="%8."/>
      <w:lvlJc w:val="left"/>
      <w:pPr>
        <w:ind w:left="7274" w:hanging="360"/>
      </w:pPr>
    </w:lvl>
    <w:lvl w:ilvl="8">
      <w:start w:val="1"/>
      <w:numFmt w:val="lowerRoman"/>
      <w:lvlText w:val="%9."/>
      <w:lvlJc w:val="right"/>
      <w:pPr>
        <w:ind w:left="7994" w:hanging="180"/>
      </w:pPr>
    </w:lvl>
  </w:abstractNum>
  <w:abstractNum w:abstractNumId="47" w15:restartNumberingAfterBreak="0">
    <w:nsid w:val="5629279B"/>
    <w:multiLevelType w:val="multilevel"/>
    <w:tmpl w:val="1EA04BEE"/>
    <w:lvl w:ilvl="0">
      <w:start w:val="1"/>
      <w:numFmt w:val="lowerLetter"/>
      <w:lvlText w:val="%1)"/>
      <w:lvlJc w:val="left"/>
      <w:pPr>
        <w:ind w:left="2258" w:hanging="360"/>
      </w:pPr>
    </w:lvl>
    <w:lvl w:ilvl="1">
      <w:start w:val="1"/>
      <w:numFmt w:val="lowerLetter"/>
      <w:lvlText w:val="%2."/>
      <w:lvlJc w:val="left"/>
      <w:pPr>
        <w:ind w:left="2978" w:hanging="360"/>
      </w:pPr>
    </w:lvl>
    <w:lvl w:ilvl="2">
      <w:start w:val="1"/>
      <w:numFmt w:val="lowerRoman"/>
      <w:lvlText w:val="%3."/>
      <w:lvlJc w:val="right"/>
      <w:pPr>
        <w:ind w:left="3698" w:hanging="180"/>
      </w:pPr>
    </w:lvl>
    <w:lvl w:ilvl="3">
      <w:start w:val="1"/>
      <w:numFmt w:val="decimal"/>
      <w:lvlText w:val="%4."/>
      <w:lvlJc w:val="left"/>
      <w:pPr>
        <w:ind w:left="4418" w:hanging="360"/>
      </w:pPr>
    </w:lvl>
    <w:lvl w:ilvl="4">
      <w:start w:val="1"/>
      <w:numFmt w:val="lowerLetter"/>
      <w:lvlText w:val="%5."/>
      <w:lvlJc w:val="left"/>
      <w:pPr>
        <w:ind w:left="5138" w:hanging="360"/>
      </w:pPr>
    </w:lvl>
    <w:lvl w:ilvl="5">
      <w:start w:val="1"/>
      <w:numFmt w:val="lowerRoman"/>
      <w:lvlText w:val="%6."/>
      <w:lvlJc w:val="right"/>
      <w:pPr>
        <w:ind w:left="5858" w:hanging="180"/>
      </w:pPr>
    </w:lvl>
    <w:lvl w:ilvl="6">
      <w:start w:val="1"/>
      <w:numFmt w:val="decimal"/>
      <w:lvlText w:val="%7."/>
      <w:lvlJc w:val="left"/>
      <w:pPr>
        <w:ind w:left="6578" w:hanging="360"/>
      </w:pPr>
    </w:lvl>
    <w:lvl w:ilvl="7">
      <w:start w:val="1"/>
      <w:numFmt w:val="lowerLetter"/>
      <w:lvlText w:val="%8."/>
      <w:lvlJc w:val="left"/>
      <w:pPr>
        <w:ind w:left="7298" w:hanging="360"/>
      </w:pPr>
    </w:lvl>
    <w:lvl w:ilvl="8">
      <w:start w:val="1"/>
      <w:numFmt w:val="lowerRoman"/>
      <w:lvlText w:val="%9."/>
      <w:lvlJc w:val="right"/>
      <w:pPr>
        <w:ind w:left="8018" w:hanging="180"/>
      </w:pPr>
    </w:lvl>
  </w:abstractNum>
  <w:abstractNum w:abstractNumId="48" w15:restartNumberingAfterBreak="0">
    <w:nsid w:val="56F8337D"/>
    <w:multiLevelType w:val="multilevel"/>
    <w:tmpl w:val="E45678EA"/>
    <w:lvl w:ilvl="0">
      <w:start w:val="1"/>
      <w:numFmt w:val="decimal"/>
      <w:lvlText w:val="%1."/>
      <w:lvlJc w:val="left"/>
      <w:pPr>
        <w:ind w:left="506" w:hanging="307"/>
      </w:pPr>
      <w:rPr>
        <w:rFonts w:ascii="Calibri" w:eastAsia="Calibri" w:hAnsi="Calibri" w:cs="Calibri"/>
        <w:b/>
        <w:i w:val="0"/>
        <w:sz w:val="24"/>
        <w:szCs w:val="24"/>
      </w:rPr>
    </w:lvl>
    <w:lvl w:ilvl="1">
      <w:numFmt w:val="bullet"/>
      <w:lvlText w:val="•"/>
      <w:lvlJc w:val="left"/>
      <w:pPr>
        <w:ind w:left="1471" w:hanging="307"/>
      </w:pPr>
    </w:lvl>
    <w:lvl w:ilvl="2">
      <w:numFmt w:val="bullet"/>
      <w:lvlText w:val="•"/>
      <w:lvlJc w:val="left"/>
      <w:pPr>
        <w:ind w:left="2442" w:hanging="307"/>
      </w:pPr>
    </w:lvl>
    <w:lvl w:ilvl="3">
      <w:numFmt w:val="bullet"/>
      <w:lvlText w:val="•"/>
      <w:lvlJc w:val="left"/>
      <w:pPr>
        <w:ind w:left="3413" w:hanging="307"/>
      </w:pPr>
    </w:lvl>
    <w:lvl w:ilvl="4">
      <w:numFmt w:val="bullet"/>
      <w:lvlText w:val="•"/>
      <w:lvlJc w:val="left"/>
      <w:pPr>
        <w:ind w:left="4384" w:hanging="307"/>
      </w:pPr>
    </w:lvl>
    <w:lvl w:ilvl="5">
      <w:numFmt w:val="bullet"/>
      <w:lvlText w:val="•"/>
      <w:lvlJc w:val="left"/>
      <w:pPr>
        <w:ind w:left="5355" w:hanging="307"/>
      </w:pPr>
    </w:lvl>
    <w:lvl w:ilvl="6">
      <w:numFmt w:val="bullet"/>
      <w:lvlText w:val="•"/>
      <w:lvlJc w:val="left"/>
      <w:pPr>
        <w:ind w:left="6326" w:hanging="307"/>
      </w:pPr>
    </w:lvl>
    <w:lvl w:ilvl="7">
      <w:numFmt w:val="bullet"/>
      <w:lvlText w:val="•"/>
      <w:lvlJc w:val="left"/>
      <w:pPr>
        <w:ind w:left="7297" w:hanging="307"/>
      </w:pPr>
    </w:lvl>
    <w:lvl w:ilvl="8">
      <w:numFmt w:val="bullet"/>
      <w:lvlText w:val="•"/>
      <w:lvlJc w:val="left"/>
      <w:pPr>
        <w:ind w:left="8268" w:hanging="307"/>
      </w:pPr>
    </w:lvl>
  </w:abstractNum>
  <w:abstractNum w:abstractNumId="49" w15:restartNumberingAfterBreak="0">
    <w:nsid w:val="58643571"/>
    <w:multiLevelType w:val="multilevel"/>
    <w:tmpl w:val="CE72815A"/>
    <w:lvl w:ilvl="0">
      <w:start w:val="1"/>
      <w:numFmt w:val="decimal"/>
      <w:lvlText w:val="%1."/>
      <w:lvlJc w:val="left"/>
      <w:pPr>
        <w:ind w:left="506" w:hanging="312"/>
      </w:pPr>
      <w:rPr>
        <w:rFonts w:ascii="Calibri" w:eastAsia="Calibri" w:hAnsi="Calibri" w:cs="Calibri"/>
        <w:b/>
        <w:i w:val="0"/>
        <w:sz w:val="24"/>
        <w:szCs w:val="24"/>
      </w:rPr>
    </w:lvl>
    <w:lvl w:ilvl="1">
      <w:numFmt w:val="bullet"/>
      <w:lvlText w:val="•"/>
      <w:lvlJc w:val="left"/>
      <w:pPr>
        <w:ind w:left="1471" w:hanging="312"/>
      </w:pPr>
    </w:lvl>
    <w:lvl w:ilvl="2">
      <w:numFmt w:val="bullet"/>
      <w:lvlText w:val="•"/>
      <w:lvlJc w:val="left"/>
      <w:pPr>
        <w:ind w:left="2442" w:hanging="312"/>
      </w:pPr>
    </w:lvl>
    <w:lvl w:ilvl="3">
      <w:numFmt w:val="bullet"/>
      <w:lvlText w:val="•"/>
      <w:lvlJc w:val="left"/>
      <w:pPr>
        <w:ind w:left="3413" w:hanging="312"/>
      </w:pPr>
    </w:lvl>
    <w:lvl w:ilvl="4">
      <w:numFmt w:val="bullet"/>
      <w:lvlText w:val="•"/>
      <w:lvlJc w:val="left"/>
      <w:pPr>
        <w:ind w:left="4384" w:hanging="312"/>
      </w:pPr>
    </w:lvl>
    <w:lvl w:ilvl="5">
      <w:numFmt w:val="bullet"/>
      <w:lvlText w:val="•"/>
      <w:lvlJc w:val="left"/>
      <w:pPr>
        <w:ind w:left="5355" w:hanging="312"/>
      </w:pPr>
    </w:lvl>
    <w:lvl w:ilvl="6">
      <w:numFmt w:val="bullet"/>
      <w:lvlText w:val="•"/>
      <w:lvlJc w:val="left"/>
      <w:pPr>
        <w:ind w:left="6326" w:hanging="312"/>
      </w:pPr>
    </w:lvl>
    <w:lvl w:ilvl="7">
      <w:numFmt w:val="bullet"/>
      <w:lvlText w:val="•"/>
      <w:lvlJc w:val="left"/>
      <w:pPr>
        <w:ind w:left="7297" w:hanging="312"/>
      </w:pPr>
    </w:lvl>
    <w:lvl w:ilvl="8">
      <w:numFmt w:val="bullet"/>
      <w:lvlText w:val="•"/>
      <w:lvlJc w:val="left"/>
      <w:pPr>
        <w:ind w:left="8268" w:hanging="312"/>
      </w:pPr>
    </w:lvl>
  </w:abstractNum>
  <w:abstractNum w:abstractNumId="50" w15:restartNumberingAfterBreak="0">
    <w:nsid w:val="58AE566E"/>
    <w:multiLevelType w:val="multilevel"/>
    <w:tmpl w:val="F0C07A5E"/>
    <w:lvl w:ilvl="0">
      <w:start w:val="1"/>
      <w:numFmt w:val="decimal"/>
      <w:lvlText w:val="%1."/>
      <w:lvlJc w:val="left"/>
      <w:pPr>
        <w:ind w:left="742" w:hanging="237"/>
      </w:pPr>
      <w:rPr>
        <w:rFonts w:ascii="Calibri" w:eastAsia="Calibri" w:hAnsi="Calibri" w:cs="Calibri"/>
        <w:b/>
        <w:i w:val="0"/>
        <w:sz w:val="24"/>
        <w:szCs w:val="24"/>
      </w:rPr>
    </w:lvl>
    <w:lvl w:ilvl="1">
      <w:numFmt w:val="bullet"/>
      <w:lvlText w:val="•"/>
      <w:lvlJc w:val="left"/>
      <w:pPr>
        <w:ind w:left="1687" w:hanging="237"/>
      </w:pPr>
    </w:lvl>
    <w:lvl w:ilvl="2">
      <w:numFmt w:val="bullet"/>
      <w:lvlText w:val="•"/>
      <w:lvlJc w:val="left"/>
      <w:pPr>
        <w:ind w:left="2634" w:hanging="237"/>
      </w:pPr>
    </w:lvl>
    <w:lvl w:ilvl="3">
      <w:numFmt w:val="bullet"/>
      <w:lvlText w:val="•"/>
      <w:lvlJc w:val="left"/>
      <w:pPr>
        <w:ind w:left="3581" w:hanging="236"/>
      </w:pPr>
    </w:lvl>
    <w:lvl w:ilvl="4">
      <w:numFmt w:val="bullet"/>
      <w:lvlText w:val="•"/>
      <w:lvlJc w:val="left"/>
      <w:pPr>
        <w:ind w:left="4528" w:hanging="237"/>
      </w:pPr>
    </w:lvl>
    <w:lvl w:ilvl="5">
      <w:numFmt w:val="bullet"/>
      <w:lvlText w:val="•"/>
      <w:lvlJc w:val="left"/>
      <w:pPr>
        <w:ind w:left="5475" w:hanging="237"/>
      </w:pPr>
    </w:lvl>
    <w:lvl w:ilvl="6">
      <w:numFmt w:val="bullet"/>
      <w:lvlText w:val="•"/>
      <w:lvlJc w:val="left"/>
      <w:pPr>
        <w:ind w:left="6422" w:hanging="237"/>
      </w:pPr>
    </w:lvl>
    <w:lvl w:ilvl="7">
      <w:numFmt w:val="bullet"/>
      <w:lvlText w:val="•"/>
      <w:lvlJc w:val="left"/>
      <w:pPr>
        <w:ind w:left="7369" w:hanging="237"/>
      </w:pPr>
    </w:lvl>
    <w:lvl w:ilvl="8">
      <w:numFmt w:val="bullet"/>
      <w:lvlText w:val="•"/>
      <w:lvlJc w:val="left"/>
      <w:pPr>
        <w:ind w:left="8316" w:hanging="237"/>
      </w:pPr>
    </w:lvl>
  </w:abstractNum>
  <w:abstractNum w:abstractNumId="51" w15:restartNumberingAfterBreak="0">
    <w:nsid w:val="5BC42EFB"/>
    <w:multiLevelType w:val="multilevel"/>
    <w:tmpl w:val="007A92C0"/>
    <w:lvl w:ilvl="0">
      <w:start w:val="1"/>
      <w:numFmt w:val="decimal"/>
      <w:lvlText w:val="%1."/>
      <w:lvlJc w:val="left"/>
      <w:pPr>
        <w:ind w:left="483" w:hanging="239"/>
      </w:pPr>
      <w:rPr>
        <w:rFonts w:ascii="Calibri" w:eastAsia="Calibri" w:hAnsi="Calibri" w:cs="Calibri"/>
        <w:b/>
        <w:i w:val="0"/>
        <w:sz w:val="24"/>
        <w:szCs w:val="24"/>
      </w:rPr>
    </w:lvl>
    <w:lvl w:ilvl="1">
      <w:start w:val="1"/>
      <w:numFmt w:val="lowerLetter"/>
      <w:lvlText w:val="%2)"/>
      <w:lvlJc w:val="left"/>
      <w:pPr>
        <w:ind w:left="1491" w:hanging="556"/>
      </w:pPr>
    </w:lvl>
    <w:lvl w:ilvl="2">
      <w:numFmt w:val="bullet"/>
      <w:lvlText w:val="•"/>
      <w:lvlJc w:val="left"/>
      <w:pPr>
        <w:ind w:left="2467" w:hanging="556"/>
      </w:pPr>
    </w:lvl>
    <w:lvl w:ilvl="3">
      <w:numFmt w:val="bullet"/>
      <w:lvlText w:val="•"/>
      <w:lvlJc w:val="left"/>
      <w:pPr>
        <w:ind w:left="3435" w:hanging="556"/>
      </w:pPr>
    </w:lvl>
    <w:lvl w:ilvl="4">
      <w:numFmt w:val="bullet"/>
      <w:lvlText w:val="•"/>
      <w:lvlJc w:val="left"/>
      <w:pPr>
        <w:ind w:left="4403" w:hanging="556"/>
      </w:pPr>
    </w:lvl>
    <w:lvl w:ilvl="5">
      <w:numFmt w:val="bullet"/>
      <w:lvlText w:val="•"/>
      <w:lvlJc w:val="left"/>
      <w:pPr>
        <w:ind w:left="5371" w:hanging="556"/>
      </w:pPr>
    </w:lvl>
    <w:lvl w:ilvl="6">
      <w:numFmt w:val="bullet"/>
      <w:lvlText w:val="•"/>
      <w:lvlJc w:val="left"/>
      <w:pPr>
        <w:ind w:left="6338" w:hanging="556"/>
      </w:pPr>
    </w:lvl>
    <w:lvl w:ilvl="7">
      <w:numFmt w:val="bullet"/>
      <w:lvlText w:val="•"/>
      <w:lvlJc w:val="left"/>
      <w:pPr>
        <w:ind w:left="7306" w:hanging="556"/>
      </w:pPr>
    </w:lvl>
    <w:lvl w:ilvl="8">
      <w:numFmt w:val="bullet"/>
      <w:lvlText w:val="•"/>
      <w:lvlJc w:val="left"/>
      <w:pPr>
        <w:ind w:left="8274" w:hanging="556"/>
      </w:pPr>
    </w:lvl>
  </w:abstractNum>
  <w:abstractNum w:abstractNumId="52" w15:restartNumberingAfterBreak="0">
    <w:nsid w:val="5C154C80"/>
    <w:multiLevelType w:val="multilevel"/>
    <w:tmpl w:val="F91C4FF6"/>
    <w:lvl w:ilvl="0">
      <w:start w:val="1"/>
      <w:numFmt w:val="decimal"/>
      <w:lvlText w:val="%1."/>
      <w:lvlJc w:val="left"/>
      <w:pPr>
        <w:ind w:left="502" w:hanging="243"/>
      </w:pPr>
      <w:rPr>
        <w:rFonts w:ascii="Calibri" w:eastAsia="Calibri" w:hAnsi="Calibri" w:cs="Calibri"/>
        <w:b/>
        <w:i w:val="0"/>
        <w:sz w:val="24"/>
        <w:szCs w:val="24"/>
      </w:rPr>
    </w:lvl>
    <w:lvl w:ilvl="1">
      <w:numFmt w:val="bullet"/>
      <w:lvlText w:val="•"/>
      <w:lvlJc w:val="left"/>
      <w:pPr>
        <w:ind w:left="1471" w:hanging="243"/>
      </w:pPr>
    </w:lvl>
    <w:lvl w:ilvl="2">
      <w:numFmt w:val="bullet"/>
      <w:lvlText w:val="•"/>
      <w:lvlJc w:val="left"/>
      <w:pPr>
        <w:ind w:left="2442" w:hanging="243"/>
      </w:pPr>
    </w:lvl>
    <w:lvl w:ilvl="3">
      <w:numFmt w:val="bullet"/>
      <w:lvlText w:val="•"/>
      <w:lvlJc w:val="left"/>
      <w:pPr>
        <w:ind w:left="3413" w:hanging="243"/>
      </w:pPr>
    </w:lvl>
    <w:lvl w:ilvl="4">
      <w:numFmt w:val="bullet"/>
      <w:lvlText w:val="•"/>
      <w:lvlJc w:val="left"/>
      <w:pPr>
        <w:ind w:left="4384" w:hanging="243"/>
      </w:pPr>
    </w:lvl>
    <w:lvl w:ilvl="5">
      <w:numFmt w:val="bullet"/>
      <w:lvlText w:val="•"/>
      <w:lvlJc w:val="left"/>
      <w:pPr>
        <w:ind w:left="5355" w:hanging="243"/>
      </w:pPr>
    </w:lvl>
    <w:lvl w:ilvl="6">
      <w:numFmt w:val="bullet"/>
      <w:lvlText w:val="•"/>
      <w:lvlJc w:val="left"/>
      <w:pPr>
        <w:ind w:left="6326" w:hanging="242"/>
      </w:pPr>
    </w:lvl>
    <w:lvl w:ilvl="7">
      <w:numFmt w:val="bullet"/>
      <w:lvlText w:val="•"/>
      <w:lvlJc w:val="left"/>
      <w:pPr>
        <w:ind w:left="7297" w:hanging="242"/>
      </w:pPr>
    </w:lvl>
    <w:lvl w:ilvl="8">
      <w:numFmt w:val="bullet"/>
      <w:lvlText w:val="•"/>
      <w:lvlJc w:val="left"/>
      <w:pPr>
        <w:ind w:left="8268" w:hanging="243"/>
      </w:pPr>
    </w:lvl>
  </w:abstractNum>
  <w:abstractNum w:abstractNumId="53" w15:restartNumberingAfterBreak="0">
    <w:nsid w:val="5EE70A97"/>
    <w:multiLevelType w:val="multilevel"/>
    <w:tmpl w:val="D338863A"/>
    <w:lvl w:ilvl="0">
      <w:start w:val="1"/>
      <w:numFmt w:val="decimal"/>
      <w:lvlText w:val="%1."/>
      <w:lvlJc w:val="left"/>
      <w:pPr>
        <w:ind w:left="506" w:hanging="272"/>
      </w:pPr>
      <w:rPr>
        <w:b/>
        <w:sz w:val="24"/>
        <w:szCs w:val="24"/>
      </w:rPr>
    </w:lvl>
    <w:lvl w:ilvl="1">
      <w:start w:val="1"/>
      <w:numFmt w:val="lowerLetter"/>
      <w:lvlText w:val="%2)"/>
      <w:lvlJc w:val="left"/>
      <w:pPr>
        <w:ind w:left="1514" w:hanging="544"/>
      </w:pPr>
      <w:rPr>
        <w:rFonts w:ascii="Calibri" w:eastAsia="Calibri" w:hAnsi="Calibri" w:cs="Calibri"/>
        <w:b/>
        <w:i w:val="0"/>
        <w:sz w:val="24"/>
        <w:szCs w:val="24"/>
      </w:rPr>
    </w:lvl>
    <w:lvl w:ilvl="2">
      <w:numFmt w:val="bullet"/>
      <w:lvlText w:val="•"/>
      <w:lvlJc w:val="left"/>
      <w:pPr>
        <w:ind w:left="2485" w:hanging="544"/>
      </w:pPr>
    </w:lvl>
    <w:lvl w:ilvl="3">
      <w:numFmt w:val="bullet"/>
      <w:lvlText w:val="•"/>
      <w:lvlJc w:val="left"/>
      <w:pPr>
        <w:ind w:left="3451" w:hanging="543"/>
      </w:pPr>
    </w:lvl>
    <w:lvl w:ilvl="4">
      <w:numFmt w:val="bullet"/>
      <w:lvlText w:val="•"/>
      <w:lvlJc w:val="left"/>
      <w:pPr>
        <w:ind w:left="4416" w:hanging="543"/>
      </w:pPr>
    </w:lvl>
    <w:lvl w:ilvl="5">
      <w:numFmt w:val="bullet"/>
      <w:lvlText w:val="•"/>
      <w:lvlJc w:val="left"/>
      <w:pPr>
        <w:ind w:left="5382" w:hanging="543"/>
      </w:pPr>
    </w:lvl>
    <w:lvl w:ilvl="6">
      <w:numFmt w:val="bullet"/>
      <w:lvlText w:val="•"/>
      <w:lvlJc w:val="left"/>
      <w:pPr>
        <w:ind w:left="6347" w:hanging="542"/>
      </w:pPr>
    </w:lvl>
    <w:lvl w:ilvl="7">
      <w:numFmt w:val="bullet"/>
      <w:lvlText w:val="•"/>
      <w:lvlJc w:val="left"/>
      <w:pPr>
        <w:ind w:left="7313" w:hanging="544"/>
      </w:pPr>
    </w:lvl>
    <w:lvl w:ilvl="8">
      <w:numFmt w:val="bullet"/>
      <w:lvlText w:val="•"/>
      <w:lvlJc w:val="left"/>
      <w:pPr>
        <w:ind w:left="8278" w:hanging="544"/>
      </w:pPr>
    </w:lvl>
  </w:abstractNum>
  <w:abstractNum w:abstractNumId="54" w15:restartNumberingAfterBreak="0">
    <w:nsid w:val="60822EB4"/>
    <w:multiLevelType w:val="multilevel"/>
    <w:tmpl w:val="C8F26A12"/>
    <w:lvl w:ilvl="0">
      <w:start w:val="1"/>
      <w:numFmt w:val="decimal"/>
      <w:lvlText w:val="%1."/>
      <w:lvlJc w:val="left"/>
      <w:pPr>
        <w:ind w:left="742" w:hanging="237"/>
      </w:pPr>
      <w:rPr>
        <w:rFonts w:ascii="Calibri" w:eastAsia="Calibri" w:hAnsi="Calibri" w:cs="Calibri"/>
        <w:b/>
        <w:i w:val="0"/>
        <w:sz w:val="24"/>
        <w:szCs w:val="24"/>
      </w:rPr>
    </w:lvl>
    <w:lvl w:ilvl="1">
      <w:start w:val="1"/>
      <w:numFmt w:val="lowerLetter"/>
      <w:lvlText w:val="%2)"/>
      <w:lvlJc w:val="left"/>
      <w:pPr>
        <w:ind w:left="1514" w:hanging="567"/>
      </w:pPr>
    </w:lvl>
    <w:lvl w:ilvl="2">
      <w:numFmt w:val="bullet"/>
      <w:lvlText w:val="•"/>
      <w:lvlJc w:val="left"/>
      <w:pPr>
        <w:ind w:left="2485" w:hanging="568"/>
      </w:pPr>
    </w:lvl>
    <w:lvl w:ilvl="3">
      <w:numFmt w:val="bullet"/>
      <w:lvlText w:val="•"/>
      <w:lvlJc w:val="left"/>
      <w:pPr>
        <w:ind w:left="3451" w:hanging="568"/>
      </w:pPr>
    </w:lvl>
    <w:lvl w:ilvl="4">
      <w:numFmt w:val="bullet"/>
      <w:lvlText w:val="•"/>
      <w:lvlJc w:val="left"/>
      <w:pPr>
        <w:ind w:left="4416" w:hanging="568"/>
      </w:pPr>
    </w:lvl>
    <w:lvl w:ilvl="5">
      <w:numFmt w:val="bullet"/>
      <w:lvlText w:val="•"/>
      <w:lvlJc w:val="left"/>
      <w:pPr>
        <w:ind w:left="5382" w:hanging="568"/>
      </w:pPr>
    </w:lvl>
    <w:lvl w:ilvl="6">
      <w:numFmt w:val="bullet"/>
      <w:lvlText w:val="•"/>
      <w:lvlJc w:val="left"/>
      <w:pPr>
        <w:ind w:left="6347" w:hanging="567"/>
      </w:pPr>
    </w:lvl>
    <w:lvl w:ilvl="7">
      <w:numFmt w:val="bullet"/>
      <w:lvlText w:val="•"/>
      <w:lvlJc w:val="left"/>
      <w:pPr>
        <w:ind w:left="7313" w:hanging="568"/>
      </w:pPr>
    </w:lvl>
    <w:lvl w:ilvl="8">
      <w:numFmt w:val="bullet"/>
      <w:lvlText w:val="•"/>
      <w:lvlJc w:val="left"/>
      <w:pPr>
        <w:ind w:left="8278" w:hanging="568"/>
      </w:pPr>
    </w:lvl>
  </w:abstractNum>
  <w:abstractNum w:abstractNumId="55" w15:restartNumberingAfterBreak="0">
    <w:nsid w:val="61ED1B70"/>
    <w:multiLevelType w:val="multilevel"/>
    <w:tmpl w:val="7DE66266"/>
    <w:lvl w:ilvl="0">
      <w:start w:val="1"/>
      <w:numFmt w:val="decimal"/>
      <w:lvlText w:val="%1."/>
      <w:lvlJc w:val="left"/>
      <w:pPr>
        <w:ind w:left="483" w:hanging="242"/>
      </w:pPr>
      <w:rPr>
        <w:rFonts w:ascii="Calibri" w:eastAsia="Calibri" w:hAnsi="Calibri" w:cs="Calibri"/>
        <w:b/>
        <w:i w:val="0"/>
        <w:sz w:val="24"/>
        <w:szCs w:val="24"/>
      </w:rPr>
    </w:lvl>
    <w:lvl w:ilvl="1">
      <w:numFmt w:val="bullet"/>
      <w:lvlText w:val="•"/>
      <w:lvlJc w:val="left"/>
      <w:pPr>
        <w:ind w:left="1453" w:hanging="242"/>
      </w:pPr>
    </w:lvl>
    <w:lvl w:ilvl="2">
      <w:numFmt w:val="bullet"/>
      <w:lvlText w:val="•"/>
      <w:lvlJc w:val="left"/>
      <w:pPr>
        <w:ind w:left="2426" w:hanging="242"/>
      </w:pPr>
    </w:lvl>
    <w:lvl w:ilvl="3">
      <w:numFmt w:val="bullet"/>
      <w:lvlText w:val="•"/>
      <w:lvlJc w:val="left"/>
      <w:pPr>
        <w:ind w:left="3399" w:hanging="242"/>
      </w:pPr>
    </w:lvl>
    <w:lvl w:ilvl="4">
      <w:numFmt w:val="bullet"/>
      <w:lvlText w:val="•"/>
      <w:lvlJc w:val="left"/>
      <w:pPr>
        <w:ind w:left="4372" w:hanging="242"/>
      </w:pPr>
    </w:lvl>
    <w:lvl w:ilvl="5">
      <w:numFmt w:val="bullet"/>
      <w:lvlText w:val="•"/>
      <w:lvlJc w:val="left"/>
      <w:pPr>
        <w:ind w:left="5345" w:hanging="242"/>
      </w:pPr>
    </w:lvl>
    <w:lvl w:ilvl="6">
      <w:numFmt w:val="bullet"/>
      <w:lvlText w:val="•"/>
      <w:lvlJc w:val="left"/>
      <w:pPr>
        <w:ind w:left="6318" w:hanging="242"/>
      </w:pPr>
    </w:lvl>
    <w:lvl w:ilvl="7">
      <w:numFmt w:val="bullet"/>
      <w:lvlText w:val="•"/>
      <w:lvlJc w:val="left"/>
      <w:pPr>
        <w:ind w:left="7291" w:hanging="242"/>
      </w:pPr>
    </w:lvl>
    <w:lvl w:ilvl="8">
      <w:numFmt w:val="bullet"/>
      <w:lvlText w:val="•"/>
      <w:lvlJc w:val="left"/>
      <w:pPr>
        <w:ind w:left="8264" w:hanging="242"/>
      </w:pPr>
    </w:lvl>
  </w:abstractNum>
  <w:abstractNum w:abstractNumId="56" w15:restartNumberingAfterBreak="0">
    <w:nsid w:val="62383BA9"/>
    <w:multiLevelType w:val="multilevel"/>
    <w:tmpl w:val="E014FC92"/>
    <w:lvl w:ilvl="0">
      <w:start w:val="1"/>
      <w:numFmt w:val="decimal"/>
      <w:lvlText w:val="%1."/>
      <w:lvlJc w:val="left"/>
      <w:pPr>
        <w:ind w:left="483" w:hanging="234"/>
      </w:pPr>
      <w:rPr>
        <w:rFonts w:ascii="Calibri" w:eastAsia="Calibri" w:hAnsi="Calibri" w:cs="Calibri"/>
        <w:b w:val="0"/>
        <w:i w:val="0"/>
        <w:sz w:val="24"/>
        <w:szCs w:val="24"/>
      </w:rPr>
    </w:lvl>
    <w:lvl w:ilvl="1">
      <w:numFmt w:val="bullet"/>
      <w:lvlText w:val="•"/>
      <w:lvlJc w:val="left"/>
      <w:pPr>
        <w:ind w:left="1453" w:hanging="234"/>
      </w:pPr>
    </w:lvl>
    <w:lvl w:ilvl="2">
      <w:numFmt w:val="bullet"/>
      <w:lvlText w:val="•"/>
      <w:lvlJc w:val="left"/>
      <w:pPr>
        <w:ind w:left="2426" w:hanging="234"/>
      </w:pPr>
    </w:lvl>
    <w:lvl w:ilvl="3">
      <w:numFmt w:val="bullet"/>
      <w:lvlText w:val="•"/>
      <w:lvlJc w:val="left"/>
      <w:pPr>
        <w:ind w:left="3399" w:hanging="234"/>
      </w:pPr>
    </w:lvl>
    <w:lvl w:ilvl="4">
      <w:numFmt w:val="bullet"/>
      <w:lvlText w:val="•"/>
      <w:lvlJc w:val="left"/>
      <w:pPr>
        <w:ind w:left="4372" w:hanging="234"/>
      </w:pPr>
    </w:lvl>
    <w:lvl w:ilvl="5">
      <w:numFmt w:val="bullet"/>
      <w:lvlText w:val="•"/>
      <w:lvlJc w:val="left"/>
      <w:pPr>
        <w:ind w:left="5345" w:hanging="234"/>
      </w:pPr>
    </w:lvl>
    <w:lvl w:ilvl="6">
      <w:numFmt w:val="bullet"/>
      <w:lvlText w:val="•"/>
      <w:lvlJc w:val="left"/>
      <w:pPr>
        <w:ind w:left="6318" w:hanging="234"/>
      </w:pPr>
    </w:lvl>
    <w:lvl w:ilvl="7">
      <w:numFmt w:val="bullet"/>
      <w:lvlText w:val="•"/>
      <w:lvlJc w:val="left"/>
      <w:pPr>
        <w:ind w:left="7291" w:hanging="234"/>
      </w:pPr>
    </w:lvl>
    <w:lvl w:ilvl="8">
      <w:numFmt w:val="bullet"/>
      <w:lvlText w:val="•"/>
      <w:lvlJc w:val="left"/>
      <w:pPr>
        <w:ind w:left="8264" w:hanging="234"/>
      </w:pPr>
    </w:lvl>
  </w:abstractNum>
  <w:abstractNum w:abstractNumId="57" w15:restartNumberingAfterBreak="0">
    <w:nsid w:val="623A157E"/>
    <w:multiLevelType w:val="multilevel"/>
    <w:tmpl w:val="7E865AAC"/>
    <w:lvl w:ilvl="0">
      <w:start w:val="1"/>
      <w:numFmt w:val="lowerLetter"/>
      <w:lvlText w:val="%1)"/>
      <w:lvlJc w:val="left"/>
      <w:pPr>
        <w:ind w:left="1202" w:hanging="360"/>
      </w:pPr>
    </w:lvl>
    <w:lvl w:ilvl="1">
      <w:start w:val="1"/>
      <w:numFmt w:val="lowerLetter"/>
      <w:lvlText w:val="%2."/>
      <w:lvlJc w:val="left"/>
      <w:pPr>
        <w:ind w:left="1922" w:hanging="360"/>
      </w:pPr>
    </w:lvl>
    <w:lvl w:ilvl="2">
      <w:start w:val="1"/>
      <w:numFmt w:val="lowerRoman"/>
      <w:lvlText w:val="%3."/>
      <w:lvlJc w:val="right"/>
      <w:pPr>
        <w:ind w:left="2642" w:hanging="180"/>
      </w:pPr>
    </w:lvl>
    <w:lvl w:ilvl="3">
      <w:start w:val="1"/>
      <w:numFmt w:val="decimal"/>
      <w:lvlText w:val="%4."/>
      <w:lvlJc w:val="left"/>
      <w:pPr>
        <w:ind w:left="3362" w:hanging="360"/>
      </w:pPr>
    </w:lvl>
    <w:lvl w:ilvl="4">
      <w:start w:val="1"/>
      <w:numFmt w:val="lowerLetter"/>
      <w:lvlText w:val="%5."/>
      <w:lvlJc w:val="left"/>
      <w:pPr>
        <w:ind w:left="4082" w:hanging="360"/>
      </w:pPr>
    </w:lvl>
    <w:lvl w:ilvl="5">
      <w:start w:val="1"/>
      <w:numFmt w:val="lowerRoman"/>
      <w:lvlText w:val="%6."/>
      <w:lvlJc w:val="right"/>
      <w:pPr>
        <w:ind w:left="4802" w:hanging="180"/>
      </w:pPr>
    </w:lvl>
    <w:lvl w:ilvl="6">
      <w:start w:val="1"/>
      <w:numFmt w:val="decimal"/>
      <w:lvlText w:val="%7."/>
      <w:lvlJc w:val="left"/>
      <w:pPr>
        <w:ind w:left="5522" w:hanging="360"/>
      </w:pPr>
    </w:lvl>
    <w:lvl w:ilvl="7">
      <w:start w:val="1"/>
      <w:numFmt w:val="lowerLetter"/>
      <w:lvlText w:val="%8."/>
      <w:lvlJc w:val="left"/>
      <w:pPr>
        <w:ind w:left="6242" w:hanging="360"/>
      </w:pPr>
    </w:lvl>
    <w:lvl w:ilvl="8">
      <w:start w:val="1"/>
      <w:numFmt w:val="lowerRoman"/>
      <w:lvlText w:val="%9."/>
      <w:lvlJc w:val="right"/>
      <w:pPr>
        <w:ind w:left="6962" w:hanging="180"/>
      </w:pPr>
    </w:lvl>
  </w:abstractNum>
  <w:abstractNum w:abstractNumId="58" w15:restartNumberingAfterBreak="0">
    <w:nsid w:val="63A32DC4"/>
    <w:multiLevelType w:val="multilevel"/>
    <w:tmpl w:val="07E8891C"/>
    <w:lvl w:ilvl="0">
      <w:start w:val="1"/>
      <w:numFmt w:val="decimal"/>
      <w:lvlText w:val="%1."/>
      <w:lvlJc w:val="left"/>
      <w:pPr>
        <w:ind w:left="483" w:hanging="258"/>
      </w:pPr>
      <w:rPr>
        <w:rFonts w:ascii="Calibri" w:eastAsia="Calibri" w:hAnsi="Calibri" w:cs="Calibri"/>
        <w:b/>
        <w:i w:val="0"/>
        <w:sz w:val="24"/>
        <w:szCs w:val="24"/>
      </w:rPr>
    </w:lvl>
    <w:lvl w:ilvl="1">
      <w:numFmt w:val="bullet"/>
      <w:lvlText w:val="•"/>
      <w:lvlJc w:val="left"/>
      <w:pPr>
        <w:ind w:left="1453" w:hanging="257"/>
      </w:pPr>
    </w:lvl>
    <w:lvl w:ilvl="2">
      <w:numFmt w:val="bullet"/>
      <w:lvlText w:val="•"/>
      <w:lvlJc w:val="left"/>
      <w:pPr>
        <w:ind w:left="2426" w:hanging="258"/>
      </w:pPr>
    </w:lvl>
    <w:lvl w:ilvl="3">
      <w:numFmt w:val="bullet"/>
      <w:lvlText w:val="•"/>
      <w:lvlJc w:val="left"/>
      <w:pPr>
        <w:ind w:left="3399" w:hanging="258"/>
      </w:pPr>
    </w:lvl>
    <w:lvl w:ilvl="4">
      <w:numFmt w:val="bullet"/>
      <w:lvlText w:val="•"/>
      <w:lvlJc w:val="left"/>
      <w:pPr>
        <w:ind w:left="4372" w:hanging="258"/>
      </w:pPr>
    </w:lvl>
    <w:lvl w:ilvl="5">
      <w:numFmt w:val="bullet"/>
      <w:lvlText w:val="•"/>
      <w:lvlJc w:val="left"/>
      <w:pPr>
        <w:ind w:left="5345" w:hanging="258"/>
      </w:pPr>
    </w:lvl>
    <w:lvl w:ilvl="6">
      <w:numFmt w:val="bullet"/>
      <w:lvlText w:val="•"/>
      <w:lvlJc w:val="left"/>
      <w:pPr>
        <w:ind w:left="6318" w:hanging="258"/>
      </w:pPr>
    </w:lvl>
    <w:lvl w:ilvl="7">
      <w:numFmt w:val="bullet"/>
      <w:lvlText w:val="•"/>
      <w:lvlJc w:val="left"/>
      <w:pPr>
        <w:ind w:left="7291" w:hanging="257"/>
      </w:pPr>
    </w:lvl>
    <w:lvl w:ilvl="8">
      <w:numFmt w:val="bullet"/>
      <w:lvlText w:val="•"/>
      <w:lvlJc w:val="left"/>
      <w:pPr>
        <w:ind w:left="8264" w:hanging="258"/>
      </w:pPr>
    </w:lvl>
  </w:abstractNum>
  <w:abstractNum w:abstractNumId="59" w15:restartNumberingAfterBreak="0">
    <w:nsid w:val="642B135D"/>
    <w:multiLevelType w:val="multilevel"/>
    <w:tmpl w:val="0624DA26"/>
    <w:lvl w:ilvl="0">
      <w:start w:val="1"/>
      <w:numFmt w:val="decimal"/>
      <w:lvlText w:val="%1."/>
      <w:lvlJc w:val="left"/>
      <w:pPr>
        <w:ind w:left="483" w:hanging="295"/>
      </w:pPr>
      <w:rPr>
        <w:rFonts w:ascii="Calibri" w:eastAsia="Calibri" w:hAnsi="Calibri" w:cs="Calibri"/>
        <w:b/>
        <w:i w:val="0"/>
        <w:sz w:val="24"/>
        <w:szCs w:val="24"/>
      </w:rPr>
    </w:lvl>
    <w:lvl w:ilvl="1">
      <w:start w:val="1"/>
      <w:numFmt w:val="lowerLetter"/>
      <w:lvlText w:val="%2)"/>
      <w:lvlJc w:val="left"/>
      <w:pPr>
        <w:ind w:left="1514" w:hanging="639"/>
      </w:pPr>
    </w:lvl>
    <w:lvl w:ilvl="2">
      <w:numFmt w:val="bullet"/>
      <w:lvlText w:val="•"/>
      <w:lvlJc w:val="left"/>
      <w:pPr>
        <w:ind w:left="2485" w:hanging="639"/>
      </w:pPr>
    </w:lvl>
    <w:lvl w:ilvl="3">
      <w:numFmt w:val="bullet"/>
      <w:lvlText w:val="•"/>
      <w:lvlJc w:val="left"/>
      <w:pPr>
        <w:ind w:left="3451" w:hanging="638"/>
      </w:pPr>
    </w:lvl>
    <w:lvl w:ilvl="4">
      <w:numFmt w:val="bullet"/>
      <w:lvlText w:val="•"/>
      <w:lvlJc w:val="left"/>
      <w:pPr>
        <w:ind w:left="4416" w:hanging="638"/>
      </w:pPr>
    </w:lvl>
    <w:lvl w:ilvl="5">
      <w:numFmt w:val="bullet"/>
      <w:lvlText w:val="•"/>
      <w:lvlJc w:val="left"/>
      <w:pPr>
        <w:ind w:left="5382" w:hanging="638"/>
      </w:pPr>
    </w:lvl>
    <w:lvl w:ilvl="6">
      <w:numFmt w:val="bullet"/>
      <w:lvlText w:val="•"/>
      <w:lvlJc w:val="left"/>
      <w:pPr>
        <w:ind w:left="6347" w:hanging="637"/>
      </w:pPr>
    </w:lvl>
    <w:lvl w:ilvl="7">
      <w:numFmt w:val="bullet"/>
      <w:lvlText w:val="•"/>
      <w:lvlJc w:val="left"/>
      <w:pPr>
        <w:ind w:left="7313" w:hanging="639"/>
      </w:pPr>
    </w:lvl>
    <w:lvl w:ilvl="8">
      <w:numFmt w:val="bullet"/>
      <w:lvlText w:val="•"/>
      <w:lvlJc w:val="left"/>
      <w:pPr>
        <w:ind w:left="8278" w:hanging="639"/>
      </w:pPr>
    </w:lvl>
  </w:abstractNum>
  <w:abstractNum w:abstractNumId="60" w15:restartNumberingAfterBreak="0">
    <w:nsid w:val="66773A51"/>
    <w:multiLevelType w:val="multilevel"/>
    <w:tmpl w:val="D9A62FB6"/>
    <w:lvl w:ilvl="0">
      <w:start w:val="1"/>
      <w:numFmt w:val="decimal"/>
      <w:lvlText w:val="%1."/>
      <w:lvlJc w:val="left"/>
      <w:pPr>
        <w:ind w:left="483" w:hanging="272"/>
      </w:pPr>
      <w:rPr>
        <w:rFonts w:ascii="Calibri" w:eastAsia="Calibri" w:hAnsi="Calibri" w:cs="Calibri"/>
        <w:b/>
        <w:i w:val="0"/>
        <w:sz w:val="24"/>
        <w:szCs w:val="24"/>
      </w:rPr>
    </w:lvl>
    <w:lvl w:ilvl="1">
      <w:numFmt w:val="bullet"/>
      <w:lvlText w:val="•"/>
      <w:lvlJc w:val="left"/>
      <w:pPr>
        <w:ind w:left="1453" w:hanging="272"/>
      </w:pPr>
    </w:lvl>
    <w:lvl w:ilvl="2">
      <w:numFmt w:val="bullet"/>
      <w:lvlText w:val="•"/>
      <w:lvlJc w:val="left"/>
      <w:pPr>
        <w:ind w:left="2426" w:hanging="272"/>
      </w:pPr>
    </w:lvl>
    <w:lvl w:ilvl="3">
      <w:numFmt w:val="bullet"/>
      <w:lvlText w:val="•"/>
      <w:lvlJc w:val="left"/>
      <w:pPr>
        <w:ind w:left="3399" w:hanging="272"/>
      </w:pPr>
    </w:lvl>
    <w:lvl w:ilvl="4">
      <w:numFmt w:val="bullet"/>
      <w:lvlText w:val="•"/>
      <w:lvlJc w:val="left"/>
      <w:pPr>
        <w:ind w:left="4372" w:hanging="272"/>
      </w:pPr>
    </w:lvl>
    <w:lvl w:ilvl="5">
      <w:numFmt w:val="bullet"/>
      <w:lvlText w:val="•"/>
      <w:lvlJc w:val="left"/>
      <w:pPr>
        <w:ind w:left="5345" w:hanging="272"/>
      </w:pPr>
    </w:lvl>
    <w:lvl w:ilvl="6">
      <w:numFmt w:val="bullet"/>
      <w:lvlText w:val="•"/>
      <w:lvlJc w:val="left"/>
      <w:pPr>
        <w:ind w:left="6318" w:hanging="272"/>
      </w:pPr>
    </w:lvl>
    <w:lvl w:ilvl="7">
      <w:numFmt w:val="bullet"/>
      <w:lvlText w:val="•"/>
      <w:lvlJc w:val="left"/>
      <w:pPr>
        <w:ind w:left="7291" w:hanging="272"/>
      </w:pPr>
    </w:lvl>
    <w:lvl w:ilvl="8">
      <w:numFmt w:val="bullet"/>
      <w:lvlText w:val="•"/>
      <w:lvlJc w:val="left"/>
      <w:pPr>
        <w:ind w:left="8264" w:hanging="272"/>
      </w:pPr>
    </w:lvl>
  </w:abstractNum>
  <w:abstractNum w:abstractNumId="61" w15:restartNumberingAfterBreak="0">
    <w:nsid w:val="67585F0E"/>
    <w:multiLevelType w:val="multilevel"/>
    <w:tmpl w:val="DB7E1FB4"/>
    <w:lvl w:ilvl="0">
      <w:start w:val="1"/>
      <w:numFmt w:val="decimal"/>
      <w:lvlText w:val="%1."/>
      <w:lvlJc w:val="left"/>
      <w:pPr>
        <w:ind w:left="483" w:hanging="238"/>
      </w:pPr>
      <w:rPr>
        <w:rFonts w:ascii="Calibri" w:eastAsia="Calibri" w:hAnsi="Calibri" w:cs="Calibri"/>
        <w:b/>
        <w:i w:val="0"/>
        <w:sz w:val="24"/>
        <w:szCs w:val="24"/>
      </w:rPr>
    </w:lvl>
    <w:lvl w:ilvl="1">
      <w:numFmt w:val="bullet"/>
      <w:lvlText w:val="•"/>
      <w:lvlJc w:val="left"/>
      <w:pPr>
        <w:ind w:left="1453" w:hanging="237"/>
      </w:pPr>
    </w:lvl>
    <w:lvl w:ilvl="2">
      <w:numFmt w:val="bullet"/>
      <w:lvlText w:val="•"/>
      <w:lvlJc w:val="left"/>
      <w:pPr>
        <w:ind w:left="2426" w:hanging="238"/>
      </w:pPr>
    </w:lvl>
    <w:lvl w:ilvl="3">
      <w:numFmt w:val="bullet"/>
      <w:lvlText w:val="•"/>
      <w:lvlJc w:val="left"/>
      <w:pPr>
        <w:ind w:left="3399" w:hanging="238"/>
      </w:pPr>
    </w:lvl>
    <w:lvl w:ilvl="4">
      <w:numFmt w:val="bullet"/>
      <w:lvlText w:val="•"/>
      <w:lvlJc w:val="left"/>
      <w:pPr>
        <w:ind w:left="4372" w:hanging="238"/>
      </w:pPr>
    </w:lvl>
    <w:lvl w:ilvl="5">
      <w:numFmt w:val="bullet"/>
      <w:lvlText w:val="•"/>
      <w:lvlJc w:val="left"/>
      <w:pPr>
        <w:ind w:left="5345" w:hanging="238"/>
      </w:pPr>
    </w:lvl>
    <w:lvl w:ilvl="6">
      <w:numFmt w:val="bullet"/>
      <w:lvlText w:val="•"/>
      <w:lvlJc w:val="left"/>
      <w:pPr>
        <w:ind w:left="6318" w:hanging="238"/>
      </w:pPr>
    </w:lvl>
    <w:lvl w:ilvl="7">
      <w:numFmt w:val="bullet"/>
      <w:lvlText w:val="•"/>
      <w:lvlJc w:val="left"/>
      <w:pPr>
        <w:ind w:left="7291" w:hanging="237"/>
      </w:pPr>
    </w:lvl>
    <w:lvl w:ilvl="8">
      <w:numFmt w:val="bullet"/>
      <w:lvlText w:val="•"/>
      <w:lvlJc w:val="left"/>
      <w:pPr>
        <w:ind w:left="8264" w:hanging="238"/>
      </w:pPr>
    </w:lvl>
  </w:abstractNum>
  <w:abstractNum w:abstractNumId="62" w15:restartNumberingAfterBreak="0">
    <w:nsid w:val="689144CC"/>
    <w:multiLevelType w:val="multilevel"/>
    <w:tmpl w:val="06122E50"/>
    <w:lvl w:ilvl="0">
      <w:start w:val="1"/>
      <w:numFmt w:val="decimal"/>
      <w:lvlText w:val="%1."/>
      <w:lvlJc w:val="left"/>
      <w:pPr>
        <w:ind w:left="483" w:hanging="274"/>
      </w:pPr>
      <w:rPr>
        <w:rFonts w:ascii="Calibri" w:eastAsia="Calibri" w:hAnsi="Calibri" w:cs="Calibri"/>
        <w:b/>
        <w:i w:val="0"/>
        <w:sz w:val="24"/>
        <w:szCs w:val="24"/>
      </w:rPr>
    </w:lvl>
    <w:lvl w:ilvl="1">
      <w:numFmt w:val="bullet"/>
      <w:lvlText w:val="•"/>
      <w:lvlJc w:val="left"/>
      <w:pPr>
        <w:ind w:left="1453" w:hanging="274"/>
      </w:pPr>
    </w:lvl>
    <w:lvl w:ilvl="2">
      <w:numFmt w:val="bullet"/>
      <w:lvlText w:val="•"/>
      <w:lvlJc w:val="left"/>
      <w:pPr>
        <w:ind w:left="2426" w:hanging="274"/>
      </w:pPr>
    </w:lvl>
    <w:lvl w:ilvl="3">
      <w:numFmt w:val="bullet"/>
      <w:lvlText w:val="•"/>
      <w:lvlJc w:val="left"/>
      <w:pPr>
        <w:ind w:left="3399" w:hanging="274"/>
      </w:pPr>
    </w:lvl>
    <w:lvl w:ilvl="4">
      <w:numFmt w:val="bullet"/>
      <w:lvlText w:val="•"/>
      <w:lvlJc w:val="left"/>
      <w:pPr>
        <w:ind w:left="4372" w:hanging="274"/>
      </w:pPr>
    </w:lvl>
    <w:lvl w:ilvl="5">
      <w:numFmt w:val="bullet"/>
      <w:lvlText w:val="•"/>
      <w:lvlJc w:val="left"/>
      <w:pPr>
        <w:ind w:left="5345" w:hanging="274"/>
      </w:pPr>
    </w:lvl>
    <w:lvl w:ilvl="6">
      <w:numFmt w:val="bullet"/>
      <w:lvlText w:val="•"/>
      <w:lvlJc w:val="left"/>
      <w:pPr>
        <w:ind w:left="6318" w:hanging="274"/>
      </w:pPr>
    </w:lvl>
    <w:lvl w:ilvl="7">
      <w:numFmt w:val="bullet"/>
      <w:lvlText w:val="•"/>
      <w:lvlJc w:val="left"/>
      <w:pPr>
        <w:ind w:left="7291" w:hanging="274"/>
      </w:pPr>
    </w:lvl>
    <w:lvl w:ilvl="8">
      <w:numFmt w:val="bullet"/>
      <w:lvlText w:val="•"/>
      <w:lvlJc w:val="left"/>
      <w:pPr>
        <w:ind w:left="8264" w:hanging="274"/>
      </w:pPr>
    </w:lvl>
  </w:abstractNum>
  <w:abstractNum w:abstractNumId="63" w15:restartNumberingAfterBreak="0">
    <w:nsid w:val="6AAB5E47"/>
    <w:multiLevelType w:val="multilevel"/>
    <w:tmpl w:val="4CF6D3DC"/>
    <w:lvl w:ilvl="0">
      <w:start w:val="1"/>
      <w:numFmt w:val="decimal"/>
      <w:lvlText w:val="%1."/>
      <w:lvlJc w:val="left"/>
      <w:pPr>
        <w:ind w:left="719" w:hanging="237"/>
      </w:pPr>
      <w:rPr>
        <w:rFonts w:ascii="Calibri" w:eastAsia="Calibri" w:hAnsi="Calibri" w:cs="Calibri"/>
        <w:b/>
        <w:i w:val="0"/>
        <w:sz w:val="24"/>
        <w:szCs w:val="24"/>
      </w:rPr>
    </w:lvl>
    <w:lvl w:ilvl="1">
      <w:start w:val="1"/>
      <w:numFmt w:val="lowerLetter"/>
      <w:lvlText w:val="%2)"/>
      <w:lvlJc w:val="left"/>
      <w:pPr>
        <w:ind w:left="1514" w:hanging="582"/>
      </w:pPr>
    </w:lvl>
    <w:lvl w:ilvl="2">
      <w:numFmt w:val="bullet"/>
      <w:lvlText w:val="•"/>
      <w:lvlJc w:val="left"/>
      <w:pPr>
        <w:ind w:left="2485" w:hanging="583"/>
      </w:pPr>
    </w:lvl>
    <w:lvl w:ilvl="3">
      <w:numFmt w:val="bullet"/>
      <w:lvlText w:val="•"/>
      <w:lvlJc w:val="left"/>
      <w:pPr>
        <w:ind w:left="3451" w:hanging="583"/>
      </w:pPr>
    </w:lvl>
    <w:lvl w:ilvl="4">
      <w:numFmt w:val="bullet"/>
      <w:lvlText w:val="•"/>
      <w:lvlJc w:val="left"/>
      <w:pPr>
        <w:ind w:left="4416" w:hanging="583"/>
      </w:pPr>
    </w:lvl>
    <w:lvl w:ilvl="5">
      <w:numFmt w:val="bullet"/>
      <w:lvlText w:val="•"/>
      <w:lvlJc w:val="left"/>
      <w:pPr>
        <w:ind w:left="5382" w:hanging="583"/>
      </w:pPr>
    </w:lvl>
    <w:lvl w:ilvl="6">
      <w:numFmt w:val="bullet"/>
      <w:lvlText w:val="•"/>
      <w:lvlJc w:val="left"/>
      <w:pPr>
        <w:ind w:left="6347" w:hanging="582"/>
      </w:pPr>
    </w:lvl>
    <w:lvl w:ilvl="7">
      <w:numFmt w:val="bullet"/>
      <w:lvlText w:val="•"/>
      <w:lvlJc w:val="left"/>
      <w:pPr>
        <w:ind w:left="7313" w:hanging="583"/>
      </w:pPr>
    </w:lvl>
    <w:lvl w:ilvl="8">
      <w:numFmt w:val="bullet"/>
      <w:lvlText w:val="•"/>
      <w:lvlJc w:val="left"/>
      <w:pPr>
        <w:ind w:left="8278" w:hanging="583"/>
      </w:pPr>
    </w:lvl>
  </w:abstractNum>
  <w:abstractNum w:abstractNumId="64" w15:restartNumberingAfterBreak="0">
    <w:nsid w:val="6BE50F98"/>
    <w:multiLevelType w:val="multilevel"/>
    <w:tmpl w:val="E044186A"/>
    <w:lvl w:ilvl="0">
      <w:start w:val="1"/>
      <w:numFmt w:val="decimal"/>
      <w:lvlText w:val="%1."/>
      <w:lvlJc w:val="left"/>
      <w:pPr>
        <w:ind w:left="483" w:hanging="330"/>
      </w:pPr>
      <w:rPr>
        <w:rFonts w:ascii="Calibri" w:eastAsia="Calibri" w:hAnsi="Calibri" w:cs="Calibri"/>
        <w:b/>
        <w:i w:val="0"/>
        <w:sz w:val="24"/>
        <w:szCs w:val="24"/>
      </w:rPr>
    </w:lvl>
    <w:lvl w:ilvl="1">
      <w:numFmt w:val="bullet"/>
      <w:lvlText w:val="•"/>
      <w:lvlJc w:val="left"/>
      <w:pPr>
        <w:ind w:left="1453" w:hanging="330"/>
      </w:pPr>
    </w:lvl>
    <w:lvl w:ilvl="2">
      <w:numFmt w:val="bullet"/>
      <w:lvlText w:val="•"/>
      <w:lvlJc w:val="left"/>
      <w:pPr>
        <w:ind w:left="2426" w:hanging="330"/>
      </w:pPr>
    </w:lvl>
    <w:lvl w:ilvl="3">
      <w:numFmt w:val="bullet"/>
      <w:lvlText w:val="•"/>
      <w:lvlJc w:val="left"/>
      <w:pPr>
        <w:ind w:left="3399" w:hanging="330"/>
      </w:pPr>
    </w:lvl>
    <w:lvl w:ilvl="4">
      <w:numFmt w:val="bullet"/>
      <w:lvlText w:val="•"/>
      <w:lvlJc w:val="left"/>
      <w:pPr>
        <w:ind w:left="4372" w:hanging="330"/>
      </w:pPr>
    </w:lvl>
    <w:lvl w:ilvl="5">
      <w:numFmt w:val="bullet"/>
      <w:lvlText w:val="•"/>
      <w:lvlJc w:val="left"/>
      <w:pPr>
        <w:ind w:left="5345" w:hanging="330"/>
      </w:pPr>
    </w:lvl>
    <w:lvl w:ilvl="6">
      <w:numFmt w:val="bullet"/>
      <w:lvlText w:val="•"/>
      <w:lvlJc w:val="left"/>
      <w:pPr>
        <w:ind w:left="6318" w:hanging="330"/>
      </w:pPr>
    </w:lvl>
    <w:lvl w:ilvl="7">
      <w:numFmt w:val="bullet"/>
      <w:lvlText w:val="•"/>
      <w:lvlJc w:val="left"/>
      <w:pPr>
        <w:ind w:left="7291" w:hanging="330"/>
      </w:pPr>
    </w:lvl>
    <w:lvl w:ilvl="8">
      <w:numFmt w:val="bullet"/>
      <w:lvlText w:val="•"/>
      <w:lvlJc w:val="left"/>
      <w:pPr>
        <w:ind w:left="8264" w:hanging="330"/>
      </w:pPr>
    </w:lvl>
  </w:abstractNum>
  <w:abstractNum w:abstractNumId="65" w15:restartNumberingAfterBreak="0">
    <w:nsid w:val="6BF60197"/>
    <w:multiLevelType w:val="multilevel"/>
    <w:tmpl w:val="41FCBF3E"/>
    <w:lvl w:ilvl="0">
      <w:start w:val="1"/>
      <w:numFmt w:val="decimal"/>
      <w:lvlText w:val="%1."/>
      <w:lvlJc w:val="left"/>
      <w:pPr>
        <w:ind w:left="544" w:hanging="343"/>
      </w:pPr>
      <w:rPr>
        <w:rFonts w:ascii="Calibri" w:eastAsia="Calibri" w:hAnsi="Calibri" w:cs="Calibri"/>
        <w:b/>
        <w:i w:val="0"/>
        <w:sz w:val="24"/>
        <w:szCs w:val="24"/>
      </w:rPr>
    </w:lvl>
    <w:lvl w:ilvl="1">
      <w:numFmt w:val="bullet"/>
      <w:lvlText w:val="•"/>
      <w:lvlJc w:val="left"/>
      <w:pPr>
        <w:ind w:left="1507" w:hanging="343"/>
      </w:pPr>
    </w:lvl>
    <w:lvl w:ilvl="2">
      <w:numFmt w:val="bullet"/>
      <w:lvlText w:val="•"/>
      <w:lvlJc w:val="left"/>
      <w:pPr>
        <w:ind w:left="2474" w:hanging="343"/>
      </w:pPr>
    </w:lvl>
    <w:lvl w:ilvl="3">
      <w:numFmt w:val="bullet"/>
      <w:lvlText w:val="•"/>
      <w:lvlJc w:val="left"/>
      <w:pPr>
        <w:ind w:left="3441" w:hanging="343"/>
      </w:pPr>
    </w:lvl>
    <w:lvl w:ilvl="4">
      <w:numFmt w:val="bullet"/>
      <w:lvlText w:val="•"/>
      <w:lvlJc w:val="left"/>
      <w:pPr>
        <w:ind w:left="4408" w:hanging="343"/>
      </w:pPr>
    </w:lvl>
    <w:lvl w:ilvl="5">
      <w:numFmt w:val="bullet"/>
      <w:lvlText w:val="•"/>
      <w:lvlJc w:val="left"/>
      <w:pPr>
        <w:ind w:left="5375" w:hanging="343"/>
      </w:pPr>
    </w:lvl>
    <w:lvl w:ilvl="6">
      <w:numFmt w:val="bullet"/>
      <w:lvlText w:val="•"/>
      <w:lvlJc w:val="left"/>
      <w:pPr>
        <w:ind w:left="6342" w:hanging="342"/>
      </w:pPr>
    </w:lvl>
    <w:lvl w:ilvl="7">
      <w:numFmt w:val="bullet"/>
      <w:lvlText w:val="•"/>
      <w:lvlJc w:val="left"/>
      <w:pPr>
        <w:ind w:left="7309" w:hanging="343"/>
      </w:pPr>
    </w:lvl>
    <w:lvl w:ilvl="8">
      <w:numFmt w:val="bullet"/>
      <w:lvlText w:val="•"/>
      <w:lvlJc w:val="left"/>
      <w:pPr>
        <w:ind w:left="8276" w:hanging="342"/>
      </w:pPr>
    </w:lvl>
  </w:abstractNum>
  <w:abstractNum w:abstractNumId="66" w15:restartNumberingAfterBreak="0">
    <w:nsid w:val="6C3D2C39"/>
    <w:multiLevelType w:val="multilevel"/>
    <w:tmpl w:val="63284F2E"/>
    <w:lvl w:ilvl="0">
      <w:start w:val="1"/>
      <w:numFmt w:val="decimal"/>
      <w:lvlText w:val="%1."/>
      <w:lvlJc w:val="left"/>
      <w:pPr>
        <w:ind w:left="483" w:hanging="241"/>
      </w:pPr>
      <w:rPr>
        <w:b/>
      </w:rPr>
    </w:lvl>
    <w:lvl w:ilvl="1">
      <w:start w:val="1"/>
      <w:numFmt w:val="lowerLetter"/>
      <w:lvlText w:val="%2)"/>
      <w:lvlJc w:val="left"/>
      <w:pPr>
        <w:ind w:left="1514" w:hanging="639"/>
      </w:pPr>
    </w:lvl>
    <w:lvl w:ilvl="2">
      <w:numFmt w:val="bullet"/>
      <w:lvlText w:val="•"/>
      <w:lvlJc w:val="left"/>
      <w:pPr>
        <w:ind w:left="2485" w:hanging="639"/>
      </w:pPr>
    </w:lvl>
    <w:lvl w:ilvl="3">
      <w:numFmt w:val="bullet"/>
      <w:lvlText w:val="•"/>
      <w:lvlJc w:val="left"/>
      <w:pPr>
        <w:ind w:left="3451" w:hanging="638"/>
      </w:pPr>
    </w:lvl>
    <w:lvl w:ilvl="4">
      <w:numFmt w:val="bullet"/>
      <w:lvlText w:val="•"/>
      <w:lvlJc w:val="left"/>
      <w:pPr>
        <w:ind w:left="4416" w:hanging="638"/>
      </w:pPr>
    </w:lvl>
    <w:lvl w:ilvl="5">
      <w:numFmt w:val="bullet"/>
      <w:lvlText w:val="•"/>
      <w:lvlJc w:val="left"/>
      <w:pPr>
        <w:ind w:left="5382" w:hanging="638"/>
      </w:pPr>
    </w:lvl>
    <w:lvl w:ilvl="6">
      <w:numFmt w:val="bullet"/>
      <w:lvlText w:val="•"/>
      <w:lvlJc w:val="left"/>
      <w:pPr>
        <w:ind w:left="6347" w:hanging="637"/>
      </w:pPr>
    </w:lvl>
    <w:lvl w:ilvl="7">
      <w:numFmt w:val="bullet"/>
      <w:lvlText w:val="•"/>
      <w:lvlJc w:val="left"/>
      <w:pPr>
        <w:ind w:left="7313" w:hanging="639"/>
      </w:pPr>
    </w:lvl>
    <w:lvl w:ilvl="8">
      <w:numFmt w:val="bullet"/>
      <w:lvlText w:val="•"/>
      <w:lvlJc w:val="left"/>
      <w:pPr>
        <w:ind w:left="8278" w:hanging="639"/>
      </w:pPr>
    </w:lvl>
  </w:abstractNum>
  <w:abstractNum w:abstractNumId="67" w15:restartNumberingAfterBreak="0">
    <w:nsid w:val="6C6A6BAB"/>
    <w:multiLevelType w:val="multilevel"/>
    <w:tmpl w:val="8998FC10"/>
    <w:lvl w:ilvl="0">
      <w:start w:val="1"/>
      <w:numFmt w:val="decimal"/>
      <w:lvlText w:val="%1."/>
      <w:lvlJc w:val="left"/>
      <w:pPr>
        <w:ind w:left="483" w:hanging="259"/>
      </w:pPr>
      <w:rPr>
        <w:rFonts w:ascii="Calibri" w:eastAsia="Calibri" w:hAnsi="Calibri" w:cs="Calibri"/>
        <w:b/>
        <w:i w:val="0"/>
        <w:sz w:val="24"/>
        <w:szCs w:val="24"/>
      </w:rPr>
    </w:lvl>
    <w:lvl w:ilvl="1">
      <w:numFmt w:val="bullet"/>
      <w:lvlText w:val="•"/>
      <w:lvlJc w:val="left"/>
      <w:pPr>
        <w:ind w:left="1453" w:hanging="259"/>
      </w:pPr>
    </w:lvl>
    <w:lvl w:ilvl="2">
      <w:numFmt w:val="bullet"/>
      <w:lvlText w:val="•"/>
      <w:lvlJc w:val="left"/>
      <w:pPr>
        <w:ind w:left="2426" w:hanging="259"/>
      </w:pPr>
    </w:lvl>
    <w:lvl w:ilvl="3">
      <w:numFmt w:val="bullet"/>
      <w:lvlText w:val="•"/>
      <w:lvlJc w:val="left"/>
      <w:pPr>
        <w:ind w:left="3399" w:hanging="259"/>
      </w:pPr>
    </w:lvl>
    <w:lvl w:ilvl="4">
      <w:numFmt w:val="bullet"/>
      <w:lvlText w:val="•"/>
      <w:lvlJc w:val="left"/>
      <w:pPr>
        <w:ind w:left="4372" w:hanging="259"/>
      </w:pPr>
    </w:lvl>
    <w:lvl w:ilvl="5">
      <w:numFmt w:val="bullet"/>
      <w:lvlText w:val="•"/>
      <w:lvlJc w:val="left"/>
      <w:pPr>
        <w:ind w:left="5345" w:hanging="259"/>
      </w:pPr>
    </w:lvl>
    <w:lvl w:ilvl="6">
      <w:numFmt w:val="bullet"/>
      <w:lvlText w:val="•"/>
      <w:lvlJc w:val="left"/>
      <w:pPr>
        <w:ind w:left="6318" w:hanging="259"/>
      </w:pPr>
    </w:lvl>
    <w:lvl w:ilvl="7">
      <w:numFmt w:val="bullet"/>
      <w:lvlText w:val="•"/>
      <w:lvlJc w:val="left"/>
      <w:pPr>
        <w:ind w:left="7291" w:hanging="259"/>
      </w:pPr>
    </w:lvl>
    <w:lvl w:ilvl="8">
      <w:numFmt w:val="bullet"/>
      <w:lvlText w:val="•"/>
      <w:lvlJc w:val="left"/>
      <w:pPr>
        <w:ind w:left="8264" w:hanging="259"/>
      </w:pPr>
    </w:lvl>
  </w:abstractNum>
  <w:abstractNum w:abstractNumId="68" w15:restartNumberingAfterBreak="0">
    <w:nsid w:val="6F0C7748"/>
    <w:multiLevelType w:val="multilevel"/>
    <w:tmpl w:val="9E6C1358"/>
    <w:lvl w:ilvl="0">
      <w:start w:val="1"/>
      <w:numFmt w:val="decimal"/>
      <w:lvlText w:val="%1."/>
      <w:lvlJc w:val="left"/>
      <w:pPr>
        <w:ind w:left="483" w:hanging="281"/>
      </w:pPr>
      <w:rPr>
        <w:rFonts w:ascii="Calibri" w:eastAsia="Calibri" w:hAnsi="Calibri" w:cs="Calibri"/>
        <w:b/>
        <w:i w:val="0"/>
        <w:sz w:val="24"/>
        <w:szCs w:val="24"/>
      </w:rPr>
    </w:lvl>
    <w:lvl w:ilvl="1">
      <w:start w:val="1"/>
      <w:numFmt w:val="lowerLetter"/>
      <w:lvlText w:val="%2)"/>
      <w:lvlJc w:val="left"/>
      <w:pPr>
        <w:ind w:left="1514" w:hanging="582"/>
      </w:pPr>
    </w:lvl>
    <w:lvl w:ilvl="2">
      <w:numFmt w:val="bullet"/>
      <w:lvlText w:val="•"/>
      <w:lvlJc w:val="left"/>
      <w:pPr>
        <w:ind w:left="2485" w:hanging="583"/>
      </w:pPr>
    </w:lvl>
    <w:lvl w:ilvl="3">
      <w:numFmt w:val="bullet"/>
      <w:lvlText w:val="•"/>
      <w:lvlJc w:val="left"/>
      <w:pPr>
        <w:ind w:left="3451" w:hanging="583"/>
      </w:pPr>
    </w:lvl>
    <w:lvl w:ilvl="4">
      <w:numFmt w:val="bullet"/>
      <w:lvlText w:val="•"/>
      <w:lvlJc w:val="left"/>
      <w:pPr>
        <w:ind w:left="4416" w:hanging="583"/>
      </w:pPr>
    </w:lvl>
    <w:lvl w:ilvl="5">
      <w:numFmt w:val="bullet"/>
      <w:lvlText w:val="•"/>
      <w:lvlJc w:val="left"/>
      <w:pPr>
        <w:ind w:left="5382" w:hanging="583"/>
      </w:pPr>
    </w:lvl>
    <w:lvl w:ilvl="6">
      <w:numFmt w:val="bullet"/>
      <w:lvlText w:val="•"/>
      <w:lvlJc w:val="left"/>
      <w:pPr>
        <w:ind w:left="6347" w:hanging="582"/>
      </w:pPr>
    </w:lvl>
    <w:lvl w:ilvl="7">
      <w:numFmt w:val="bullet"/>
      <w:lvlText w:val="•"/>
      <w:lvlJc w:val="left"/>
      <w:pPr>
        <w:ind w:left="7313" w:hanging="583"/>
      </w:pPr>
    </w:lvl>
    <w:lvl w:ilvl="8">
      <w:numFmt w:val="bullet"/>
      <w:lvlText w:val="•"/>
      <w:lvlJc w:val="left"/>
      <w:pPr>
        <w:ind w:left="8278" w:hanging="583"/>
      </w:pPr>
    </w:lvl>
  </w:abstractNum>
  <w:abstractNum w:abstractNumId="69" w15:restartNumberingAfterBreak="0">
    <w:nsid w:val="723776A4"/>
    <w:multiLevelType w:val="multilevel"/>
    <w:tmpl w:val="987C7BA6"/>
    <w:lvl w:ilvl="0">
      <w:start w:val="1"/>
      <w:numFmt w:val="decimal"/>
      <w:lvlText w:val="%1."/>
      <w:lvlJc w:val="left"/>
      <w:pPr>
        <w:ind w:left="502" w:hanging="256"/>
      </w:pPr>
      <w:rPr>
        <w:rFonts w:ascii="Calibri" w:eastAsia="Calibri" w:hAnsi="Calibri" w:cs="Calibri"/>
        <w:b w:val="0"/>
        <w:i w:val="0"/>
        <w:sz w:val="24"/>
        <w:szCs w:val="24"/>
      </w:rPr>
    </w:lvl>
    <w:lvl w:ilvl="1">
      <w:numFmt w:val="bullet"/>
      <w:lvlText w:val="•"/>
      <w:lvlJc w:val="left"/>
      <w:pPr>
        <w:ind w:left="1471" w:hanging="256"/>
      </w:pPr>
    </w:lvl>
    <w:lvl w:ilvl="2">
      <w:numFmt w:val="bullet"/>
      <w:lvlText w:val="•"/>
      <w:lvlJc w:val="left"/>
      <w:pPr>
        <w:ind w:left="2442" w:hanging="256"/>
      </w:pPr>
    </w:lvl>
    <w:lvl w:ilvl="3">
      <w:numFmt w:val="bullet"/>
      <w:lvlText w:val="•"/>
      <w:lvlJc w:val="left"/>
      <w:pPr>
        <w:ind w:left="3413" w:hanging="256"/>
      </w:pPr>
    </w:lvl>
    <w:lvl w:ilvl="4">
      <w:numFmt w:val="bullet"/>
      <w:lvlText w:val="•"/>
      <w:lvlJc w:val="left"/>
      <w:pPr>
        <w:ind w:left="4384" w:hanging="256"/>
      </w:pPr>
    </w:lvl>
    <w:lvl w:ilvl="5">
      <w:numFmt w:val="bullet"/>
      <w:lvlText w:val="•"/>
      <w:lvlJc w:val="left"/>
      <w:pPr>
        <w:ind w:left="5355" w:hanging="256"/>
      </w:pPr>
    </w:lvl>
    <w:lvl w:ilvl="6">
      <w:numFmt w:val="bullet"/>
      <w:lvlText w:val="•"/>
      <w:lvlJc w:val="left"/>
      <w:pPr>
        <w:ind w:left="6326" w:hanging="256"/>
      </w:pPr>
    </w:lvl>
    <w:lvl w:ilvl="7">
      <w:numFmt w:val="bullet"/>
      <w:lvlText w:val="•"/>
      <w:lvlJc w:val="left"/>
      <w:pPr>
        <w:ind w:left="7297" w:hanging="256"/>
      </w:pPr>
    </w:lvl>
    <w:lvl w:ilvl="8">
      <w:numFmt w:val="bullet"/>
      <w:lvlText w:val="•"/>
      <w:lvlJc w:val="left"/>
      <w:pPr>
        <w:ind w:left="8268" w:hanging="256"/>
      </w:pPr>
    </w:lvl>
  </w:abstractNum>
  <w:abstractNum w:abstractNumId="70" w15:restartNumberingAfterBreak="0">
    <w:nsid w:val="72D81920"/>
    <w:multiLevelType w:val="multilevel"/>
    <w:tmpl w:val="3496E364"/>
    <w:lvl w:ilvl="0">
      <w:start w:val="1"/>
      <w:numFmt w:val="lowerLetter"/>
      <w:lvlText w:val="%1)"/>
      <w:lvlJc w:val="left"/>
      <w:pPr>
        <w:ind w:left="1437" w:hanging="360"/>
      </w:pPr>
    </w:lvl>
    <w:lvl w:ilvl="1">
      <w:start w:val="1"/>
      <w:numFmt w:val="lowerLetter"/>
      <w:lvlText w:val="%2."/>
      <w:lvlJc w:val="left"/>
      <w:pPr>
        <w:ind w:left="2157" w:hanging="360"/>
      </w:pPr>
    </w:lvl>
    <w:lvl w:ilvl="2">
      <w:start w:val="1"/>
      <w:numFmt w:val="lowerRoman"/>
      <w:lvlText w:val="%3."/>
      <w:lvlJc w:val="right"/>
      <w:pPr>
        <w:ind w:left="2877" w:hanging="180"/>
      </w:pPr>
    </w:lvl>
    <w:lvl w:ilvl="3">
      <w:start w:val="1"/>
      <w:numFmt w:val="decimal"/>
      <w:lvlText w:val="%4."/>
      <w:lvlJc w:val="left"/>
      <w:pPr>
        <w:ind w:left="3597" w:hanging="360"/>
      </w:pPr>
    </w:lvl>
    <w:lvl w:ilvl="4">
      <w:start w:val="1"/>
      <w:numFmt w:val="lowerLetter"/>
      <w:lvlText w:val="%5."/>
      <w:lvlJc w:val="left"/>
      <w:pPr>
        <w:ind w:left="4317" w:hanging="360"/>
      </w:pPr>
    </w:lvl>
    <w:lvl w:ilvl="5">
      <w:start w:val="1"/>
      <w:numFmt w:val="lowerRoman"/>
      <w:lvlText w:val="%6."/>
      <w:lvlJc w:val="right"/>
      <w:pPr>
        <w:ind w:left="5037" w:hanging="180"/>
      </w:pPr>
    </w:lvl>
    <w:lvl w:ilvl="6">
      <w:start w:val="1"/>
      <w:numFmt w:val="decimal"/>
      <w:lvlText w:val="%7."/>
      <w:lvlJc w:val="left"/>
      <w:pPr>
        <w:ind w:left="5757" w:hanging="360"/>
      </w:pPr>
    </w:lvl>
    <w:lvl w:ilvl="7">
      <w:start w:val="1"/>
      <w:numFmt w:val="lowerLetter"/>
      <w:lvlText w:val="%8."/>
      <w:lvlJc w:val="left"/>
      <w:pPr>
        <w:ind w:left="6477" w:hanging="360"/>
      </w:pPr>
    </w:lvl>
    <w:lvl w:ilvl="8">
      <w:start w:val="1"/>
      <w:numFmt w:val="lowerRoman"/>
      <w:lvlText w:val="%9."/>
      <w:lvlJc w:val="right"/>
      <w:pPr>
        <w:ind w:left="7197" w:hanging="180"/>
      </w:pPr>
    </w:lvl>
  </w:abstractNum>
  <w:abstractNum w:abstractNumId="71" w15:restartNumberingAfterBreak="0">
    <w:nsid w:val="73205525"/>
    <w:multiLevelType w:val="multilevel"/>
    <w:tmpl w:val="466CF2BC"/>
    <w:lvl w:ilvl="0">
      <w:start w:val="1"/>
      <w:numFmt w:val="lowerLetter"/>
      <w:lvlText w:val="%1)"/>
      <w:lvlJc w:val="left"/>
      <w:pPr>
        <w:ind w:left="2234" w:hanging="360"/>
      </w:pPr>
      <w:rPr>
        <w:b/>
      </w:rPr>
    </w:lvl>
    <w:lvl w:ilvl="1">
      <w:start w:val="1"/>
      <w:numFmt w:val="lowerLetter"/>
      <w:lvlText w:val="%2."/>
      <w:lvlJc w:val="left"/>
      <w:pPr>
        <w:ind w:left="2954" w:hanging="360"/>
      </w:pPr>
    </w:lvl>
    <w:lvl w:ilvl="2">
      <w:start w:val="1"/>
      <w:numFmt w:val="lowerRoman"/>
      <w:lvlText w:val="%3."/>
      <w:lvlJc w:val="right"/>
      <w:pPr>
        <w:ind w:left="3674" w:hanging="180"/>
      </w:pPr>
    </w:lvl>
    <w:lvl w:ilvl="3">
      <w:start w:val="1"/>
      <w:numFmt w:val="decimal"/>
      <w:lvlText w:val="%4."/>
      <w:lvlJc w:val="left"/>
      <w:pPr>
        <w:ind w:left="4394" w:hanging="360"/>
      </w:pPr>
    </w:lvl>
    <w:lvl w:ilvl="4">
      <w:start w:val="1"/>
      <w:numFmt w:val="lowerLetter"/>
      <w:lvlText w:val="%5."/>
      <w:lvlJc w:val="left"/>
      <w:pPr>
        <w:ind w:left="5114" w:hanging="360"/>
      </w:pPr>
    </w:lvl>
    <w:lvl w:ilvl="5">
      <w:start w:val="1"/>
      <w:numFmt w:val="lowerRoman"/>
      <w:lvlText w:val="%6."/>
      <w:lvlJc w:val="right"/>
      <w:pPr>
        <w:ind w:left="5834" w:hanging="180"/>
      </w:pPr>
    </w:lvl>
    <w:lvl w:ilvl="6">
      <w:start w:val="1"/>
      <w:numFmt w:val="decimal"/>
      <w:lvlText w:val="%7."/>
      <w:lvlJc w:val="left"/>
      <w:pPr>
        <w:ind w:left="6554" w:hanging="360"/>
      </w:pPr>
    </w:lvl>
    <w:lvl w:ilvl="7">
      <w:start w:val="1"/>
      <w:numFmt w:val="lowerLetter"/>
      <w:lvlText w:val="%8."/>
      <w:lvlJc w:val="left"/>
      <w:pPr>
        <w:ind w:left="7274" w:hanging="360"/>
      </w:pPr>
    </w:lvl>
    <w:lvl w:ilvl="8">
      <w:start w:val="1"/>
      <w:numFmt w:val="lowerRoman"/>
      <w:lvlText w:val="%9."/>
      <w:lvlJc w:val="right"/>
      <w:pPr>
        <w:ind w:left="7994" w:hanging="180"/>
      </w:pPr>
    </w:lvl>
  </w:abstractNum>
  <w:abstractNum w:abstractNumId="72" w15:restartNumberingAfterBreak="0">
    <w:nsid w:val="76D174D0"/>
    <w:multiLevelType w:val="multilevel"/>
    <w:tmpl w:val="5F326EE0"/>
    <w:lvl w:ilvl="0">
      <w:start w:val="1"/>
      <w:numFmt w:val="decimal"/>
      <w:lvlText w:val="%1."/>
      <w:lvlJc w:val="left"/>
      <w:pPr>
        <w:ind w:left="719" w:hanging="237"/>
      </w:pPr>
      <w:rPr>
        <w:rFonts w:ascii="Calibri" w:eastAsia="Calibri" w:hAnsi="Calibri" w:cs="Calibri"/>
        <w:b/>
        <w:i w:val="0"/>
        <w:sz w:val="24"/>
        <w:szCs w:val="24"/>
      </w:rPr>
    </w:lvl>
    <w:lvl w:ilvl="1">
      <w:start w:val="1"/>
      <w:numFmt w:val="lowerLetter"/>
      <w:lvlText w:val="%2)"/>
      <w:lvlJc w:val="left"/>
      <w:pPr>
        <w:ind w:left="1514" w:hanging="639"/>
      </w:pPr>
    </w:lvl>
    <w:lvl w:ilvl="2">
      <w:numFmt w:val="bullet"/>
      <w:lvlText w:val="•"/>
      <w:lvlJc w:val="left"/>
      <w:pPr>
        <w:ind w:left="2485" w:hanging="639"/>
      </w:pPr>
    </w:lvl>
    <w:lvl w:ilvl="3">
      <w:numFmt w:val="bullet"/>
      <w:lvlText w:val="•"/>
      <w:lvlJc w:val="left"/>
      <w:pPr>
        <w:ind w:left="3451" w:hanging="638"/>
      </w:pPr>
    </w:lvl>
    <w:lvl w:ilvl="4">
      <w:numFmt w:val="bullet"/>
      <w:lvlText w:val="•"/>
      <w:lvlJc w:val="left"/>
      <w:pPr>
        <w:ind w:left="4416" w:hanging="638"/>
      </w:pPr>
    </w:lvl>
    <w:lvl w:ilvl="5">
      <w:numFmt w:val="bullet"/>
      <w:lvlText w:val="•"/>
      <w:lvlJc w:val="left"/>
      <w:pPr>
        <w:ind w:left="5382" w:hanging="638"/>
      </w:pPr>
    </w:lvl>
    <w:lvl w:ilvl="6">
      <w:numFmt w:val="bullet"/>
      <w:lvlText w:val="•"/>
      <w:lvlJc w:val="left"/>
      <w:pPr>
        <w:ind w:left="6347" w:hanging="637"/>
      </w:pPr>
    </w:lvl>
    <w:lvl w:ilvl="7">
      <w:numFmt w:val="bullet"/>
      <w:lvlText w:val="•"/>
      <w:lvlJc w:val="left"/>
      <w:pPr>
        <w:ind w:left="7313" w:hanging="639"/>
      </w:pPr>
    </w:lvl>
    <w:lvl w:ilvl="8">
      <w:numFmt w:val="bullet"/>
      <w:lvlText w:val="•"/>
      <w:lvlJc w:val="left"/>
      <w:pPr>
        <w:ind w:left="8278" w:hanging="639"/>
      </w:pPr>
    </w:lvl>
  </w:abstractNum>
  <w:abstractNum w:abstractNumId="73" w15:restartNumberingAfterBreak="0">
    <w:nsid w:val="78831CBF"/>
    <w:multiLevelType w:val="multilevel"/>
    <w:tmpl w:val="07524FFE"/>
    <w:lvl w:ilvl="0">
      <w:start w:val="1"/>
      <w:numFmt w:val="decimal"/>
      <w:lvlText w:val="%1."/>
      <w:lvlJc w:val="left"/>
      <w:pPr>
        <w:ind w:left="483" w:hanging="262"/>
      </w:pPr>
      <w:rPr>
        <w:rFonts w:ascii="Calibri" w:eastAsia="Calibri" w:hAnsi="Calibri" w:cs="Calibri"/>
        <w:b/>
        <w:i w:val="0"/>
        <w:sz w:val="24"/>
        <w:szCs w:val="24"/>
      </w:rPr>
    </w:lvl>
    <w:lvl w:ilvl="1">
      <w:numFmt w:val="bullet"/>
      <w:lvlText w:val="•"/>
      <w:lvlJc w:val="left"/>
      <w:pPr>
        <w:ind w:left="1453" w:hanging="262"/>
      </w:pPr>
    </w:lvl>
    <w:lvl w:ilvl="2">
      <w:numFmt w:val="bullet"/>
      <w:lvlText w:val="•"/>
      <w:lvlJc w:val="left"/>
      <w:pPr>
        <w:ind w:left="2426" w:hanging="262"/>
      </w:pPr>
    </w:lvl>
    <w:lvl w:ilvl="3">
      <w:numFmt w:val="bullet"/>
      <w:lvlText w:val="•"/>
      <w:lvlJc w:val="left"/>
      <w:pPr>
        <w:ind w:left="3399" w:hanging="262"/>
      </w:pPr>
    </w:lvl>
    <w:lvl w:ilvl="4">
      <w:numFmt w:val="bullet"/>
      <w:lvlText w:val="•"/>
      <w:lvlJc w:val="left"/>
      <w:pPr>
        <w:ind w:left="4372" w:hanging="262"/>
      </w:pPr>
    </w:lvl>
    <w:lvl w:ilvl="5">
      <w:numFmt w:val="bullet"/>
      <w:lvlText w:val="•"/>
      <w:lvlJc w:val="left"/>
      <w:pPr>
        <w:ind w:left="5345" w:hanging="262"/>
      </w:pPr>
    </w:lvl>
    <w:lvl w:ilvl="6">
      <w:numFmt w:val="bullet"/>
      <w:lvlText w:val="•"/>
      <w:lvlJc w:val="left"/>
      <w:pPr>
        <w:ind w:left="6318" w:hanging="262"/>
      </w:pPr>
    </w:lvl>
    <w:lvl w:ilvl="7">
      <w:numFmt w:val="bullet"/>
      <w:lvlText w:val="•"/>
      <w:lvlJc w:val="left"/>
      <w:pPr>
        <w:ind w:left="7291" w:hanging="262"/>
      </w:pPr>
    </w:lvl>
    <w:lvl w:ilvl="8">
      <w:numFmt w:val="bullet"/>
      <w:lvlText w:val="•"/>
      <w:lvlJc w:val="left"/>
      <w:pPr>
        <w:ind w:left="8264" w:hanging="262"/>
      </w:pPr>
    </w:lvl>
  </w:abstractNum>
  <w:abstractNum w:abstractNumId="74" w15:restartNumberingAfterBreak="0">
    <w:nsid w:val="79A15C77"/>
    <w:multiLevelType w:val="multilevel"/>
    <w:tmpl w:val="3C609184"/>
    <w:lvl w:ilvl="0">
      <w:start w:val="1"/>
      <w:numFmt w:val="lowerLetter"/>
      <w:lvlText w:val="%1)"/>
      <w:lvlJc w:val="left"/>
      <w:pPr>
        <w:ind w:left="1202" w:hanging="360"/>
      </w:pPr>
    </w:lvl>
    <w:lvl w:ilvl="1">
      <w:start w:val="1"/>
      <w:numFmt w:val="lowerLetter"/>
      <w:lvlText w:val="%2."/>
      <w:lvlJc w:val="left"/>
      <w:pPr>
        <w:ind w:left="1922" w:hanging="360"/>
      </w:pPr>
    </w:lvl>
    <w:lvl w:ilvl="2">
      <w:start w:val="1"/>
      <w:numFmt w:val="lowerRoman"/>
      <w:lvlText w:val="%3."/>
      <w:lvlJc w:val="right"/>
      <w:pPr>
        <w:ind w:left="2642" w:hanging="180"/>
      </w:pPr>
    </w:lvl>
    <w:lvl w:ilvl="3">
      <w:start w:val="1"/>
      <w:numFmt w:val="decimal"/>
      <w:lvlText w:val="%4."/>
      <w:lvlJc w:val="left"/>
      <w:pPr>
        <w:ind w:left="3362" w:hanging="360"/>
      </w:pPr>
    </w:lvl>
    <w:lvl w:ilvl="4">
      <w:start w:val="1"/>
      <w:numFmt w:val="lowerLetter"/>
      <w:lvlText w:val="%5."/>
      <w:lvlJc w:val="left"/>
      <w:pPr>
        <w:ind w:left="4082" w:hanging="360"/>
      </w:pPr>
    </w:lvl>
    <w:lvl w:ilvl="5">
      <w:start w:val="1"/>
      <w:numFmt w:val="lowerRoman"/>
      <w:lvlText w:val="%6."/>
      <w:lvlJc w:val="right"/>
      <w:pPr>
        <w:ind w:left="4802" w:hanging="180"/>
      </w:pPr>
    </w:lvl>
    <w:lvl w:ilvl="6">
      <w:start w:val="1"/>
      <w:numFmt w:val="decimal"/>
      <w:lvlText w:val="%7."/>
      <w:lvlJc w:val="left"/>
      <w:pPr>
        <w:ind w:left="5522" w:hanging="360"/>
      </w:pPr>
    </w:lvl>
    <w:lvl w:ilvl="7">
      <w:start w:val="1"/>
      <w:numFmt w:val="lowerLetter"/>
      <w:lvlText w:val="%8."/>
      <w:lvlJc w:val="left"/>
      <w:pPr>
        <w:ind w:left="6242" w:hanging="360"/>
      </w:pPr>
    </w:lvl>
    <w:lvl w:ilvl="8">
      <w:start w:val="1"/>
      <w:numFmt w:val="lowerRoman"/>
      <w:lvlText w:val="%9."/>
      <w:lvlJc w:val="right"/>
      <w:pPr>
        <w:ind w:left="6962" w:hanging="180"/>
      </w:pPr>
    </w:lvl>
  </w:abstractNum>
  <w:abstractNum w:abstractNumId="75" w15:restartNumberingAfterBreak="0">
    <w:nsid w:val="79A86A0D"/>
    <w:multiLevelType w:val="multilevel"/>
    <w:tmpl w:val="9402B6DC"/>
    <w:lvl w:ilvl="0">
      <w:start w:val="1"/>
      <w:numFmt w:val="decimal"/>
      <w:lvlText w:val="%1."/>
      <w:lvlJc w:val="left"/>
      <w:pPr>
        <w:ind w:left="483" w:hanging="295"/>
      </w:pPr>
      <w:rPr>
        <w:rFonts w:ascii="Calibri" w:eastAsia="Calibri" w:hAnsi="Calibri" w:cs="Calibri"/>
        <w:b/>
        <w:i w:val="0"/>
        <w:sz w:val="24"/>
        <w:szCs w:val="24"/>
      </w:rPr>
    </w:lvl>
    <w:lvl w:ilvl="1">
      <w:start w:val="1"/>
      <w:numFmt w:val="lowerLetter"/>
      <w:lvlText w:val="%2)"/>
      <w:lvlJc w:val="left"/>
      <w:pPr>
        <w:ind w:left="1514" w:hanging="582"/>
      </w:pPr>
    </w:lvl>
    <w:lvl w:ilvl="2">
      <w:numFmt w:val="bullet"/>
      <w:lvlText w:val="•"/>
      <w:lvlJc w:val="left"/>
      <w:pPr>
        <w:ind w:left="2485" w:hanging="583"/>
      </w:pPr>
    </w:lvl>
    <w:lvl w:ilvl="3">
      <w:numFmt w:val="bullet"/>
      <w:lvlText w:val="•"/>
      <w:lvlJc w:val="left"/>
      <w:pPr>
        <w:ind w:left="3451" w:hanging="583"/>
      </w:pPr>
    </w:lvl>
    <w:lvl w:ilvl="4">
      <w:numFmt w:val="bullet"/>
      <w:lvlText w:val="•"/>
      <w:lvlJc w:val="left"/>
      <w:pPr>
        <w:ind w:left="4416" w:hanging="583"/>
      </w:pPr>
    </w:lvl>
    <w:lvl w:ilvl="5">
      <w:numFmt w:val="bullet"/>
      <w:lvlText w:val="•"/>
      <w:lvlJc w:val="left"/>
      <w:pPr>
        <w:ind w:left="5382" w:hanging="583"/>
      </w:pPr>
    </w:lvl>
    <w:lvl w:ilvl="6">
      <w:numFmt w:val="bullet"/>
      <w:lvlText w:val="•"/>
      <w:lvlJc w:val="left"/>
      <w:pPr>
        <w:ind w:left="6347" w:hanging="582"/>
      </w:pPr>
    </w:lvl>
    <w:lvl w:ilvl="7">
      <w:numFmt w:val="bullet"/>
      <w:lvlText w:val="•"/>
      <w:lvlJc w:val="left"/>
      <w:pPr>
        <w:ind w:left="7313" w:hanging="583"/>
      </w:pPr>
    </w:lvl>
    <w:lvl w:ilvl="8">
      <w:numFmt w:val="bullet"/>
      <w:lvlText w:val="•"/>
      <w:lvlJc w:val="left"/>
      <w:pPr>
        <w:ind w:left="8278" w:hanging="583"/>
      </w:pPr>
    </w:lvl>
  </w:abstractNum>
  <w:abstractNum w:abstractNumId="76" w15:restartNumberingAfterBreak="0">
    <w:nsid w:val="7AA565FE"/>
    <w:multiLevelType w:val="multilevel"/>
    <w:tmpl w:val="347A9A0A"/>
    <w:lvl w:ilvl="0">
      <w:start w:val="1"/>
      <w:numFmt w:val="bullet"/>
      <w:lvlText w:val="✔"/>
      <w:lvlJc w:val="left"/>
      <w:pPr>
        <w:ind w:left="2157" w:hanging="360"/>
      </w:pPr>
      <w:rPr>
        <w:rFonts w:ascii="Noto Sans Symbols" w:eastAsia="Noto Sans Symbols" w:hAnsi="Noto Sans Symbols" w:cs="Noto Sans Symbols"/>
      </w:rPr>
    </w:lvl>
    <w:lvl w:ilvl="1">
      <w:start w:val="1"/>
      <w:numFmt w:val="bullet"/>
      <w:lvlText w:val="o"/>
      <w:lvlJc w:val="left"/>
      <w:pPr>
        <w:ind w:left="2877" w:hanging="360"/>
      </w:pPr>
      <w:rPr>
        <w:rFonts w:ascii="Courier New" w:eastAsia="Courier New" w:hAnsi="Courier New" w:cs="Courier New"/>
      </w:rPr>
    </w:lvl>
    <w:lvl w:ilvl="2">
      <w:start w:val="1"/>
      <w:numFmt w:val="bullet"/>
      <w:lvlText w:val="▪"/>
      <w:lvlJc w:val="left"/>
      <w:pPr>
        <w:ind w:left="3597" w:hanging="360"/>
      </w:pPr>
      <w:rPr>
        <w:rFonts w:ascii="Noto Sans Symbols" w:eastAsia="Noto Sans Symbols" w:hAnsi="Noto Sans Symbols" w:cs="Noto Sans Symbols"/>
      </w:rPr>
    </w:lvl>
    <w:lvl w:ilvl="3">
      <w:start w:val="1"/>
      <w:numFmt w:val="bullet"/>
      <w:lvlText w:val="●"/>
      <w:lvlJc w:val="left"/>
      <w:pPr>
        <w:ind w:left="4317" w:hanging="360"/>
      </w:pPr>
      <w:rPr>
        <w:rFonts w:ascii="Noto Sans Symbols" w:eastAsia="Noto Sans Symbols" w:hAnsi="Noto Sans Symbols" w:cs="Noto Sans Symbols"/>
      </w:rPr>
    </w:lvl>
    <w:lvl w:ilvl="4">
      <w:start w:val="1"/>
      <w:numFmt w:val="bullet"/>
      <w:lvlText w:val="o"/>
      <w:lvlJc w:val="left"/>
      <w:pPr>
        <w:ind w:left="5037" w:hanging="360"/>
      </w:pPr>
      <w:rPr>
        <w:rFonts w:ascii="Courier New" w:eastAsia="Courier New" w:hAnsi="Courier New" w:cs="Courier New"/>
      </w:rPr>
    </w:lvl>
    <w:lvl w:ilvl="5">
      <w:start w:val="1"/>
      <w:numFmt w:val="bullet"/>
      <w:lvlText w:val="▪"/>
      <w:lvlJc w:val="left"/>
      <w:pPr>
        <w:ind w:left="5757" w:hanging="360"/>
      </w:pPr>
      <w:rPr>
        <w:rFonts w:ascii="Noto Sans Symbols" w:eastAsia="Noto Sans Symbols" w:hAnsi="Noto Sans Symbols" w:cs="Noto Sans Symbols"/>
      </w:rPr>
    </w:lvl>
    <w:lvl w:ilvl="6">
      <w:start w:val="1"/>
      <w:numFmt w:val="bullet"/>
      <w:lvlText w:val="●"/>
      <w:lvlJc w:val="left"/>
      <w:pPr>
        <w:ind w:left="6477" w:hanging="360"/>
      </w:pPr>
      <w:rPr>
        <w:rFonts w:ascii="Noto Sans Symbols" w:eastAsia="Noto Sans Symbols" w:hAnsi="Noto Sans Symbols" w:cs="Noto Sans Symbols"/>
      </w:rPr>
    </w:lvl>
    <w:lvl w:ilvl="7">
      <w:start w:val="1"/>
      <w:numFmt w:val="bullet"/>
      <w:lvlText w:val="o"/>
      <w:lvlJc w:val="left"/>
      <w:pPr>
        <w:ind w:left="7197" w:hanging="360"/>
      </w:pPr>
      <w:rPr>
        <w:rFonts w:ascii="Courier New" w:eastAsia="Courier New" w:hAnsi="Courier New" w:cs="Courier New"/>
      </w:rPr>
    </w:lvl>
    <w:lvl w:ilvl="8">
      <w:start w:val="1"/>
      <w:numFmt w:val="bullet"/>
      <w:lvlText w:val="▪"/>
      <w:lvlJc w:val="left"/>
      <w:pPr>
        <w:ind w:left="7917" w:hanging="360"/>
      </w:pPr>
      <w:rPr>
        <w:rFonts w:ascii="Noto Sans Symbols" w:eastAsia="Noto Sans Symbols" w:hAnsi="Noto Sans Symbols" w:cs="Noto Sans Symbols"/>
      </w:rPr>
    </w:lvl>
  </w:abstractNum>
  <w:abstractNum w:abstractNumId="77" w15:restartNumberingAfterBreak="0">
    <w:nsid w:val="7C076D93"/>
    <w:multiLevelType w:val="multilevel"/>
    <w:tmpl w:val="F29001C2"/>
    <w:lvl w:ilvl="0">
      <w:start w:val="1"/>
      <w:numFmt w:val="decimal"/>
      <w:lvlText w:val="%1."/>
      <w:lvlJc w:val="left"/>
      <w:pPr>
        <w:ind w:left="483" w:hanging="259"/>
      </w:pPr>
      <w:rPr>
        <w:rFonts w:ascii="Calibri" w:eastAsia="Calibri" w:hAnsi="Calibri" w:cs="Calibri"/>
        <w:b/>
        <w:i w:val="0"/>
        <w:sz w:val="24"/>
        <w:szCs w:val="24"/>
      </w:rPr>
    </w:lvl>
    <w:lvl w:ilvl="1">
      <w:numFmt w:val="bullet"/>
      <w:lvlText w:val="•"/>
      <w:lvlJc w:val="left"/>
      <w:pPr>
        <w:ind w:left="1453" w:hanging="259"/>
      </w:pPr>
    </w:lvl>
    <w:lvl w:ilvl="2">
      <w:numFmt w:val="bullet"/>
      <w:lvlText w:val="•"/>
      <w:lvlJc w:val="left"/>
      <w:pPr>
        <w:ind w:left="2426" w:hanging="259"/>
      </w:pPr>
    </w:lvl>
    <w:lvl w:ilvl="3">
      <w:numFmt w:val="bullet"/>
      <w:lvlText w:val="•"/>
      <w:lvlJc w:val="left"/>
      <w:pPr>
        <w:ind w:left="3399" w:hanging="259"/>
      </w:pPr>
    </w:lvl>
    <w:lvl w:ilvl="4">
      <w:numFmt w:val="bullet"/>
      <w:lvlText w:val="•"/>
      <w:lvlJc w:val="left"/>
      <w:pPr>
        <w:ind w:left="4372" w:hanging="259"/>
      </w:pPr>
    </w:lvl>
    <w:lvl w:ilvl="5">
      <w:numFmt w:val="bullet"/>
      <w:lvlText w:val="•"/>
      <w:lvlJc w:val="left"/>
      <w:pPr>
        <w:ind w:left="5345" w:hanging="259"/>
      </w:pPr>
    </w:lvl>
    <w:lvl w:ilvl="6">
      <w:numFmt w:val="bullet"/>
      <w:lvlText w:val="•"/>
      <w:lvlJc w:val="left"/>
      <w:pPr>
        <w:ind w:left="6318" w:hanging="259"/>
      </w:pPr>
    </w:lvl>
    <w:lvl w:ilvl="7">
      <w:numFmt w:val="bullet"/>
      <w:lvlText w:val="•"/>
      <w:lvlJc w:val="left"/>
      <w:pPr>
        <w:ind w:left="7291" w:hanging="259"/>
      </w:pPr>
    </w:lvl>
    <w:lvl w:ilvl="8">
      <w:numFmt w:val="bullet"/>
      <w:lvlText w:val="•"/>
      <w:lvlJc w:val="left"/>
      <w:pPr>
        <w:ind w:left="8264" w:hanging="259"/>
      </w:pPr>
    </w:lvl>
  </w:abstractNum>
  <w:abstractNum w:abstractNumId="78" w15:restartNumberingAfterBreak="0">
    <w:nsid w:val="7C231508"/>
    <w:multiLevelType w:val="multilevel"/>
    <w:tmpl w:val="F648B63E"/>
    <w:lvl w:ilvl="0">
      <w:start w:val="1"/>
      <w:numFmt w:val="decimal"/>
      <w:lvlText w:val="%1."/>
      <w:lvlJc w:val="left"/>
      <w:pPr>
        <w:ind w:left="483" w:hanging="245"/>
      </w:pPr>
      <w:rPr>
        <w:rFonts w:ascii="Calibri" w:eastAsia="Calibri" w:hAnsi="Calibri" w:cs="Calibri"/>
        <w:b/>
        <w:i w:val="0"/>
        <w:sz w:val="24"/>
        <w:szCs w:val="24"/>
      </w:rPr>
    </w:lvl>
    <w:lvl w:ilvl="1">
      <w:numFmt w:val="bullet"/>
      <w:lvlText w:val="•"/>
      <w:lvlJc w:val="left"/>
      <w:pPr>
        <w:ind w:left="1453" w:hanging="245"/>
      </w:pPr>
    </w:lvl>
    <w:lvl w:ilvl="2">
      <w:numFmt w:val="bullet"/>
      <w:lvlText w:val="•"/>
      <w:lvlJc w:val="left"/>
      <w:pPr>
        <w:ind w:left="2426" w:hanging="245"/>
      </w:pPr>
    </w:lvl>
    <w:lvl w:ilvl="3">
      <w:numFmt w:val="bullet"/>
      <w:lvlText w:val="•"/>
      <w:lvlJc w:val="left"/>
      <w:pPr>
        <w:ind w:left="3399" w:hanging="245"/>
      </w:pPr>
    </w:lvl>
    <w:lvl w:ilvl="4">
      <w:numFmt w:val="bullet"/>
      <w:lvlText w:val="•"/>
      <w:lvlJc w:val="left"/>
      <w:pPr>
        <w:ind w:left="4372" w:hanging="245"/>
      </w:pPr>
    </w:lvl>
    <w:lvl w:ilvl="5">
      <w:numFmt w:val="bullet"/>
      <w:lvlText w:val="•"/>
      <w:lvlJc w:val="left"/>
      <w:pPr>
        <w:ind w:left="5345" w:hanging="245"/>
      </w:pPr>
    </w:lvl>
    <w:lvl w:ilvl="6">
      <w:numFmt w:val="bullet"/>
      <w:lvlText w:val="•"/>
      <w:lvlJc w:val="left"/>
      <w:pPr>
        <w:ind w:left="6318" w:hanging="245"/>
      </w:pPr>
    </w:lvl>
    <w:lvl w:ilvl="7">
      <w:numFmt w:val="bullet"/>
      <w:lvlText w:val="•"/>
      <w:lvlJc w:val="left"/>
      <w:pPr>
        <w:ind w:left="7291" w:hanging="245"/>
      </w:pPr>
    </w:lvl>
    <w:lvl w:ilvl="8">
      <w:numFmt w:val="bullet"/>
      <w:lvlText w:val="•"/>
      <w:lvlJc w:val="left"/>
      <w:pPr>
        <w:ind w:left="8264" w:hanging="245"/>
      </w:pPr>
    </w:lvl>
  </w:abstractNum>
  <w:abstractNum w:abstractNumId="79" w15:restartNumberingAfterBreak="0">
    <w:nsid w:val="7CD71D71"/>
    <w:multiLevelType w:val="multilevel"/>
    <w:tmpl w:val="6C72C3F0"/>
    <w:lvl w:ilvl="0">
      <w:start w:val="1"/>
      <w:numFmt w:val="lowerLetter"/>
      <w:lvlText w:val="%1)"/>
      <w:lvlJc w:val="left"/>
      <w:pPr>
        <w:ind w:left="1202" w:hanging="360"/>
      </w:pPr>
    </w:lvl>
    <w:lvl w:ilvl="1">
      <w:start w:val="1"/>
      <w:numFmt w:val="lowerLetter"/>
      <w:lvlText w:val="%2."/>
      <w:lvlJc w:val="left"/>
      <w:pPr>
        <w:ind w:left="1922" w:hanging="360"/>
      </w:pPr>
    </w:lvl>
    <w:lvl w:ilvl="2">
      <w:start w:val="1"/>
      <w:numFmt w:val="lowerRoman"/>
      <w:lvlText w:val="%3."/>
      <w:lvlJc w:val="right"/>
      <w:pPr>
        <w:ind w:left="2642" w:hanging="180"/>
      </w:pPr>
    </w:lvl>
    <w:lvl w:ilvl="3">
      <w:start w:val="1"/>
      <w:numFmt w:val="decimal"/>
      <w:lvlText w:val="%4."/>
      <w:lvlJc w:val="left"/>
      <w:pPr>
        <w:ind w:left="3362" w:hanging="360"/>
      </w:pPr>
    </w:lvl>
    <w:lvl w:ilvl="4">
      <w:start w:val="1"/>
      <w:numFmt w:val="lowerLetter"/>
      <w:lvlText w:val="%5."/>
      <w:lvlJc w:val="left"/>
      <w:pPr>
        <w:ind w:left="4082" w:hanging="360"/>
      </w:pPr>
    </w:lvl>
    <w:lvl w:ilvl="5">
      <w:start w:val="1"/>
      <w:numFmt w:val="lowerRoman"/>
      <w:lvlText w:val="%6."/>
      <w:lvlJc w:val="right"/>
      <w:pPr>
        <w:ind w:left="4802" w:hanging="180"/>
      </w:pPr>
    </w:lvl>
    <w:lvl w:ilvl="6">
      <w:start w:val="1"/>
      <w:numFmt w:val="decimal"/>
      <w:lvlText w:val="%7."/>
      <w:lvlJc w:val="left"/>
      <w:pPr>
        <w:ind w:left="5522" w:hanging="360"/>
      </w:pPr>
    </w:lvl>
    <w:lvl w:ilvl="7">
      <w:start w:val="1"/>
      <w:numFmt w:val="lowerLetter"/>
      <w:lvlText w:val="%8."/>
      <w:lvlJc w:val="left"/>
      <w:pPr>
        <w:ind w:left="6242" w:hanging="360"/>
      </w:pPr>
    </w:lvl>
    <w:lvl w:ilvl="8">
      <w:start w:val="1"/>
      <w:numFmt w:val="lowerRoman"/>
      <w:lvlText w:val="%9."/>
      <w:lvlJc w:val="right"/>
      <w:pPr>
        <w:ind w:left="6962" w:hanging="180"/>
      </w:pPr>
    </w:lvl>
  </w:abstractNum>
  <w:abstractNum w:abstractNumId="80" w15:restartNumberingAfterBreak="0">
    <w:nsid w:val="7EC530B3"/>
    <w:multiLevelType w:val="multilevel"/>
    <w:tmpl w:val="0BD0660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1" w15:restartNumberingAfterBreak="0">
    <w:nsid w:val="7FC90665"/>
    <w:multiLevelType w:val="multilevel"/>
    <w:tmpl w:val="FADC4DBA"/>
    <w:lvl w:ilvl="0">
      <w:start w:val="1"/>
      <w:numFmt w:val="lowerLetter"/>
      <w:lvlText w:val="%1)"/>
      <w:lvlJc w:val="left"/>
      <w:pPr>
        <w:ind w:left="1264" w:hanging="360"/>
      </w:pPr>
    </w:lvl>
    <w:lvl w:ilvl="1">
      <w:start w:val="1"/>
      <w:numFmt w:val="lowerLetter"/>
      <w:lvlText w:val="%2."/>
      <w:lvlJc w:val="left"/>
      <w:pPr>
        <w:ind w:left="1984" w:hanging="360"/>
      </w:pPr>
    </w:lvl>
    <w:lvl w:ilvl="2">
      <w:start w:val="1"/>
      <w:numFmt w:val="lowerRoman"/>
      <w:lvlText w:val="%3."/>
      <w:lvlJc w:val="right"/>
      <w:pPr>
        <w:ind w:left="2704" w:hanging="180"/>
      </w:pPr>
    </w:lvl>
    <w:lvl w:ilvl="3">
      <w:start w:val="1"/>
      <w:numFmt w:val="decimal"/>
      <w:lvlText w:val="%4."/>
      <w:lvlJc w:val="left"/>
      <w:pPr>
        <w:ind w:left="3424" w:hanging="360"/>
      </w:pPr>
    </w:lvl>
    <w:lvl w:ilvl="4">
      <w:start w:val="1"/>
      <w:numFmt w:val="lowerLetter"/>
      <w:lvlText w:val="%5."/>
      <w:lvlJc w:val="left"/>
      <w:pPr>
        <w:ind w:left="4144" w:hanging="360"/>
      </w:pPr>
    </w:lvl>
    <w:lvl w:ilvl="5">
      <w:start w:val="1"/>
      <w:numFmt w:val="lowerRoman"/>
      <w:lvlText w:val="%6."/>
      <w:lvlJc w:val="right"/>
      <w:pPr>
        <w:ind w:left="4864" w:hanging="180"/>
      </w:pPr>
    </w:lvl>
    <w:lvl w:ilvl="6">
      <w:start w:val="1"/>
      <w:numFmt w:val="decimal"/>
      <w:lvlText w:val="%7."/>
      <w:lvlJc w:val="left"/>
      <w:pPr>
        <w:ind w:left="5584" w:hanging="360"/>
      </w:pPr>
    </w:lvl>
    <w:lvl w:ilvl="7">
      <w:start w:val="1"/>
      <w:numFmt w:val="lowerLetter"/>
      <w:lvlText w:val="%8."/>
      <w:lvlJc w:val="left"/>
      <w:pPr>
        <w:ind w:left="6304" w:hanging="360"/>
      </w:pPr>
    </w:lvl>
    <w:lvl w:ilvl="8">
      <w:start w:val="1"/>
      <w:numFmt w:val="lowerRoman"/>
      <w:lvlText w:val="%9."/>
      <w:lvlJc w:val="right"/>
      <w:pPr>
        <w:ind w:left="7024" w:hanging="180"/>
      </w:pPr>
    </w:lvl>
  </w:abstractNum>
  <w:num w:numId="1">
    <w:abstractNumId w:val="78"/>
  </w:num>
  <w:num w:numId="2">
    <w:abstractNumId w:val="66"/>
  </w:num>
  <w:num w:numId="3">
    <w:abstractNumId w:val="6"/>
  </w:num>
  <w:num w:numId="4">
    <w:abstractNumId w:val="15"/>
  </w:num>
  <w:num w:numId="5">
    <w:abstractNumId w:val="65"/>
  </w:num>
  <w:num w:numId="6">
    <w:abstractNumId w:val="12"/>
  </w:num>
  <w:num w:numId="7">
    <w:abstractNumId w:val="64"/>
  </w:num>
  <w:num w:numId="8">
    <w:abstractNumId w:val="67"/>
  </w:num>
  <w:num w:numId="9">
    <w:abstractNumId w:val="41"/>
  </w:num>
  <w:num w:numId="10">
    <w:abstractNumId w:val="8"/>
  </w:num>
  <w:num w:numId="11">
    <w:abstractNumId w:val="45"/>
  </w:num>
  <w:num w:numId="12">
    <w:abstractNumId w:val="62"/>
  </w:num>
  <w:num w:numId="13">
    <w:abstractNumId w:val="14"/>
  </w:num>
  <w:num w:numId="14">
    <w:abstractNumId w:val="61"/>
  </w:num>
  <w:num w:numId="15">
    <w:abstractNumId w:val="58"/>
  </w:num>
  <w:num w:numId="16">
    <w:abstractNumId w:val="24"/>
  </w:num>
  <w:num w:numId="17">
    <w:abstractNumId w:val="63"/>
  </w:num>
  <w:num w:numId="18">
    <w:abstractNumId w:val="23"/>
  </w:num>
  <w:num w:numId="19">
    <w:abstractNumId w:val="28"/>
  </w:num>
  <w:num w:numId="20">
    <w:abstractNumId w:val="20"/>
  </w:num>
  <w:num w:numId="21">
    <w:abstractNumId w:val="31"/>
  </w:num>
  <w:num w:numId="22">
    <w:abstractNumId w:val="75"/>
  </w:num>
  <w:num w:numId="23">
    <w:abstractNumId w:val="60"/>
  </w:num>
  <w:num w:numId="24">
    <w:abstractNumId w:val="68"/>
  </w:num>
  <w:num w:numId="25">
    <w:abstractNumId w:val="38"/>
  </w:num>
  <w:num w:numId="26">
    <w:abstractNumId w:val="11"/>
  </w:num>
  <w:num w:numId="27">
    <w:abstractNumId w:val="36"/>
  </w:num>
  <w:num w:numId="28">
    <w:abstractNumId w:val="50"/>
  </w:num>
  <w:num w:numId="29">
    <w:abstractNumId w:val="1"/>
  </w:num>
  <w:num w:numId="30">
    <w:abstractNumId w:val="49"/>
  </w:num>
  <w:num w:numId="31">
    <w:abstractNumId w:val="54"/>
  </w:num>
  <w:num w:numId="32">
    <w:abstractNumId w:val="53"/>
  </w:num>
  <w:num w:numId="33">
    <w:abstractNumId w:val="55"/>
  </w:num>
  <w:num w:numId="34">
    <w:abstractNumId w:val="21"/>
  </w:num>
  <w:num w:numId="35">
    <w:abstractNumId w:val="30"/>
  </w:num>
  <w:num w:numId="36">
    <w:abstractNumId w:val="48"/>
  </w:num>
  <w:num w:numId="37">
    <w:abstractNumId w:val="3"/>
  </w:num>
  <w:num w:numId="38">
    <w:abstractNumId w:val="34"/>
  </w:num>
  <w:num w:numId="39">
    <w:abstractNumId w:val="17"/>
  </w:num>
  <w:num w:numId="40">
    <w:abstractNumId w:val="27"/>
  </w:num>
  <w:num w:numId="41">
    <w:abstractNumId w:val="29"/>
  </w:num>
  <w:num w:numId="42">
    <w:abstractNumId w:val="2"/>
  </w:num>
  <w:num w:numId="43">
    <w:abstractNumId w:val="43"/>
  </w:num>
  <w:num w:numId="44">
    <w:abstractNumId w:val="18"/>
  </w:num>
  <w:num w:numId="45">
    <w:abstractNumId w:val="42"/>
  </w:num>
  <w:num w:numId="46">
    <w:abstractNumId w:val="5"/>
  </w:num>
  <w:num w:numId="47">
    <w:abstractNumId w:val="37"/>
  </w:num>
  <w:num w:numId="48">
    <w:abstractNumId w:val="52"/>
  </w:num>
  <w:num w:numId="49">
    <w:abstractNumId w:val="77"/>
  </w:num>
  <w:num w:numId="50">
    <w:abstractNumId w:val="69"/>
  </w:num>
  <w:num w:numId="51">
    <w:abstractNumId w:val="73"/>
  </w:num>
  <w:num w:numId="52">
    <w:abstractNumId w:val="22"/>
  </w:num>
  <w:num w:numId="53">
    <w:abstractNumId w:val="51"/>
  </w:num>
  <w:num w:numId="54">
    <w:abstractNumId w:val="32"/>
  </w:num>
  <w:num w:numId="55">
    <w:abstractNumId w:val="13"/>
  </w:num>
  <w:num w:numId="56">
    <w:abstractNumId w:val="39"/>
  </w:num>
  <w:num w:numId="57">
    <w:abstractNumId w:val="35"/>
  </w:num>
  <w:num w:numId="58">
    <w:abstractNumId w:val="47"/>
  </w:num>
  <w:num w:numId="59">
    <w:abstractNumId w:val="19"/>
  </w:num>
  <w:num w:numId="60">
    <w:abstractNumId w:val="71"/>
  </w:num>
  <w:num w:numId="61">
    <w:abstractNumId w:val="46"/>
  </w:num>
  <w:num w:numId="62">
    <w:abstractNumId w:val="74"/>
  </w:num>
  <w:num w:numId="63">
    <w:abstractNumId w:val="72"/>
  </w:num>
  <w:num w:numId="64">
    <w:abstractNumId w:val="79"/>
  </w:num>
  <w:num w:numId="65">
    <w:abstractNumId w:val="25"/>
  </w:num>
  <w:num w:numId="66">
    <w:abstractNumId w:val="40"/>
  </w:num>
  <w:num w:numId="67">
    <w:abstractNumId w:val="59"/>
  </w:num>
  <w:num w:numId="68">
    <w:abstractNumId w:val="26"/>
  </w:num>
  <w:num w:numId="69">
    <w:abstractNumId w:val="33"/>
  </w:num>
  <w:num w:numId="70">
    <w:abstractNumId w:val="44"/>
  </w:num>
  <w:num w:numId="71">
    <w:abstractNumId w:val="57"/>
  </w:num>
  <w:num w:numId="72">
    <w:abstractNumId w:val="81"/>
  </w:num>
  <w:num w:numId="73">
    <w:abstractNumId w:val="16"/>
  </w:num>
  <w:num w:numId="74">
    <w:abstractNumId w:val="0"/>
  </w:num>
  <w:num w:numId="75">
    <w:abstractNumId w:val="10"/>
  </w:num>
  <w:num w:numId="76">
    <w:abstractNumId w:val="70"/>
  </w:num>
  <w:num w:numId="77">
    <w:abstractNumId w:val="76"/>
  </w:num>
  <w:num w:numId="78">
    <w:abstractNumId w:val="9"/>
  </w:num>
  <w:num w:numId="79">
    <w:abstractNumId w:val="4"/>
  </w:num>
  <w:num w:numId="80">
    <w:abstractNumId w:val="7"/>
  </w:num>
  <w:num w:numId="81">
    <w:abstractNumId w:val="56"/>
  </w:num>
  <w:num w:numId="82">
    <w:abstractNumId w:val="8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3AE"/>
    <w:rsid w:val="0000778F"/>
    <w:rsid w:val="00127FFC"/>
    <w:rsid w:val="00273240"/>
    <w:rsid w:val="00383DA8"/>
    <w:rsid w:val="005E41D0"/>
    <w:rsid w:val="00756EE5"/>
    <w:rsid w:val="00916610"/>
    <w:rsid w:val="00AD6327"/>
    <w:rsid w:val="00B00FE6"/>
    <w:rsid w:val="00CD23AE"/>
    <w:rsid w:val="00E1789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98589"/>
  <w15:docId w15:val="{62CF4E71-2EBB-064E-B1DB-62FD83AA4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sz w:val="22"/>
        <w:szCs w:val="22"/>
        <w:lang w:val="es"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750" w:right="161"/>
      <w:jc w:val="center"/>
      <w:outlineLvl w:val="0"/>
    </w:pPr>
    <w:rPr>
      <w:rFonts w:ascii="Trebuchet MS" w:eastAsia="Trebuchet MS" w:hAnsi="Trebuchet MS" w:cs="Trebuchet MS"/>
      <w:sz w:val="176"/>
      <w:szCs w:val="176"/>
    </w:rPr>
  </w:style>
  <w:style w:type="paragraph" w:styleId="Ttulo2">
    <w:name w:val="heading 2"/>
    <w:basedOn w:val="Normal"/>
    <w:next w:val="Normal"/>
    <w:uiPriority w:val="9"/>
    <w:unhideWhenUsed/>
    <w:qFormat/>
    <w:pPr>
      <w:ind w:left="482"/>
      <w:outlineLvl w:val="1"/>
    </w:pPr>
    <w:rPr>
      <w:rFonts w:ascii="Trebuchet MS" w:eastAsia="Trebuchet MS" w:hAnsi="Trebuchet MS" w:cs="Trebuchet MS"/>
      <w:sz w:val="56"/>
      <w:szCs w:val="56"/>
    </w:rPr>
  </w:style>
  <w:style w:type="paragraph" w:styleId="Ttulo3">
    <w:name w:val="heading 3"/>
    <w:basedOn w:val="Normal"/>
    <w:next w:val="Normal"/>
    <w:uiPriority w:val="9"/>
    <w:unhideWhenUsed/>
    <w:qFormat/>
    <w:pPr>
      <w:ind w:left="506"/>
      <w:outlineLvl w:val="2"/>
    </w:pPr>
    <w:rPr>
      <w:rFonts w:ascii="Trebuchet MS" w:eastAsia="Trebuchet MS" w:hAnsi="Trebuchet MS" w:cs="Trebuchet MS"/>
      <w:sz w:val="42"/>
      <w:szCs w:val="42"/>
    </w:rPr>
  </w:style>
  <w:style w:type="paragraph" w:styleId="Ttulo4">
    <w:name w:val="heading 4"/>
    <w:basedOn w:val="Normal"/>
    <w:next w:val="Normal"/>
    <w:uiPriority w:val="9"/>
    <w:unhideWhenUsed/>
    <w:qFormat/>
    <w:pPr>
      <w:jc w:val="right"/>
      <w:outlineLvl w:val="3"/>
    </w:pPr>
    <w:rPr>
      <w:rFonts w:ascii="Trebuchet MS" w:eastAsia="Trebuchet MS" w:hAnsi="Trebuchet MS" w:cs="Trebuchet MS"/>
      <w:sz w:val="32"/>
      <w:szCs w:val="32"/>
    </w:rPr>
  </w:style>
  <w:style w:type="paragraph" w:styleId="Ttulo5">
    <w:name w:val="heading 5"/>
    <w:basedOn w:val="Normal"/>
    <w:next w:val="Normal"/>
    <w:uiPriority w:val="9"/>
    <w:unhideWhenUsed/>
    <w:qFormat/>
    <w:pPr>
      <w:spacing w:before="1"/>
      <w:ind w:left="482"/>
      <w:outlineLvl w:val="4"/>
    </w:pPr>
    <w:rPr>
      <w:rFonts w:ascii="Tahoma" w:eastAsia="Tahoma" w:hAnsi="Tahoma" w:cs="Tahoma"/>
      <w:b/>
      <w:sz w:val="30"/>
      <w:szCs w:val="30"/>
    </w:rPr>
  </w:style>
  <w:style w:type="paragraph" w:styleId="Ttulo6">
    <w:name w:val="heading 6"/>
    <w:basedOn w:val="Normal"/>
    <w:next w:val="Normal"/>
    <w:uiPriority w:val="9"/>
    <w:unhideWhenUsed/>
    <w:qFormat/>
    <w:pPr>
      <w:ind w:left="482"/>
      <w:outlineLvl w:val="5"/>
    </w:pPr>
    <w:rPr>
      <w:rFonts w:ascii="Tahoma" w:eastAsia="Tahoma" w:hAnsi="Tahoma" w:cs="Tahoma"/>
      <w:b/>
      <w:sz w:val="25"/>
      <w:szCs w:val="2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ind w:left="131"/>
    </w:pPr>
    <w:rPr>
      <w:rFonts w:ascii="Trebuchet MS" w:eastAsia="Trebuchet MS" w:hAnsi="Trebuchet MS" w:cs="Trebuchet MS"/>
      <w:sz w:val="215"/>
      <w:szCs w:val="215"/>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5"/>
      <w:szCs w:val="25"/>
    </w:rPr>
  </w:style>
  <w:style w:type="paragraph" w:styleId="Prrafodelista">
    <w:name w:val="List Paragraph"/>
    <w:basedOn w:val="Normal"/>
    <w:uiPriority w:val="1"/>
    <w:qFormat/>
    <w:pPr>
      <w:ind w:left="482" w:right="197"/>
      <w:jc w:val="both"/>
    </w:pPr>
  </w:style>
  <w:style w:type="paragraph" w:customStyle="1" w:styleId="TableParagraph">
    <w:name w:val="Table Paragraph"/>
    <w:basedOn w:val="Normal"/>
    <w:uiPriority w:val="1"/>
    <w:qFormat/>
    <w:rPr>
      <w:rFonts w:ascii="Times New Roman" w:eastAsia="Times New Roman" w:hAnsi="Times New Roman" w:cs="Times New Roman"/>
    </w:rPr>
  </w:style>
  <w:style w:type="table" w:styleId="Tablaconcuadrcula">
    <w:name w:val="Table Grid"/>
    <w:basedOn w:val="Tablanormal"/>
    <w:uiPriority w:val="39"/>
    <w:rsid w:val="00CE47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51777"/>
    <w:rPr>
      <w:color w:val="0000FF" w:themeColor="hyperlink"/>
      <w:u w:val="single"/>
    </w:rPr>
  </w:style>
  <w:style w:type="character" w:styleId="Mencinsinresolver">
    <w:name w:val="Unresolved Mention"/>
    <w:basedOn w:val="Fuentedeprrafopredeter"/>
    <w:uiPriority w:val="99"/>
    <w:semiHidden/>
    <w:unhideWhenUsed/>
    <w:rsid w:val="00151777"/>
    <w:rPr>
      <w:color w:val="605E5C"/>
      <w:shd w:val="clear" w:color="auto" w:fill="E1DFDD"/>
    </w:rPr>
  </w:style>
  <w:style w:type="paragraph" w:styleId="Encabezado">
    <w:name w:val="header"/>
    <w:basedOn w:val="Normal"/>
    <w:link w:val="EncabezadoCar"/>
    <w:uiPriority w:val="99"/>
    <w:unhideWhenUsed/>
    <w:rsid w:val="008C5891"/>
    <w:pPr>
      <w:tabs>
        <w:tab w:val="center" w:pos="4419"/>
        <w:tab w:val="right" w:pos="8838"/>
      </w:tabs>
    </w:pPr>
  </w:style>
  <w:style w:type="character" w:customStyle="1" w:styleId="EncabezadoCar">
    <w:name w:val="Encabezado Car"/>
    <w:basedOn w:val="Fuentedeprrafopredeter"/>
    <w:link w:val="Encabezado"/>
    <w:uiPriority w:val="99"/>
    <w:rsid w:val="008C5891"/>
    <w:rPr>
      <w:rFonts w:ascii="Verdana" w:eastAsia="Verdana" w:hAnsi="Verdana" w:cs="Verdana"/>
      <w:lang w:val="es-ES"/>
    </w:rPr>
  </w:style>
  <w:style w:type="paragraph" w:styleId="Piedepgina">
    <w:name w:val="footer"/>
    <w:basedOn w:val="Normal"/>
    <w:link w:val="PiedepginaCar"/>
    <w:uiPriority w:val="99"/>
    <w:unhideWhenUsed/>
    <w:rsid w:val="008C5891"/>
    <w:pPr>
      <w:tabs>
        <w:tab w:val="center" w:pos="4419"/>
        <w:tab w:val="right" w:pos="8838"/>
      </w:tabs>
    </w:pPr>
  </w:style>
  <w:style w:type="character" w:customStyle="1" w:styleId="PiedepginaCar">
    <w:name w:val="Pie de página Car"/>
    <w:basedOn w:val="Fuentedeprrafopredeter"/>
    <w:link w:val="Piedepgina"/>
    <w:uiPriority w:val="99"/>
    <w:rsid w:val="008C5891"/>
    <w:rPr>
      <w:rFonts w:ascii="Verdana" w:eastAsia="Verdana" w:hAnsi="Verdana" w:cs="Verdana"/>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374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0.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theme" Target="theme/theme1.xm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ww7cqSJq+WnKC08cKqcZrD0OCg==">CgMxLjAyDmgubHBzdG1rMXh3eTN6Mg5oLm9hYTNkdTM5aTg1ODIOaC5iY2NqbTVmMnpwcHAyDWguNDdzbHZjdnE4bXYyDmgubWV1YW54MzZnaWRvMg5oLnJncmEyYnpnbTVmMzIOaC5od3VqMGVnaDYwN2UyDmgud2xtOTJ4dm9iaGUxMg1oLmRmMjFscml3NHF1Mg5oLjN5N21rZ285ZjJ2ZjIOaC4zZ3l3Zmt1N3Rrem4yDmgubDJ1NW12OWR5bmphMg5oLmExdGV0MzJrdTcwNzIOaC5yMzRqMXR6Y2picTgyDWguaXA1ZzZpOHdod28yDmguN2M5YnlqYm5oNXVjMg5oLjZuYTNtOWkzZXp0MzgAciExcDZLaVJjQWh1a1NjQTFSZFgwUkVRbFBhZXY4enJzRG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37</Pages>
  <Words>13745</Words>
  <Characters>75598</Characters>
  <Application>Microsoft Office Word</Application>
  <DocSecurity>0</DocSecurity>
  <Lines>629</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ANGEL ESPINOZA MARIN</dc:creator>
  <cp:lastModifiedBy>Jorge Juvenal</cp:lastModifiedBy>
  <cp:revision>4</cp:revision>
  <dcterms:created xsi:type="dcterms:W3CDTF">2025-12-15T22:24:00Z</dcterms:created>
  <dcterms:modified xsi:type="dcterms:W3CDTF">2025-12-16T22:08:00Z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2025-09-02T00:00:00Z</vt:filetime>
  </property>
  <property fmtid="{D5CDD505-2E9C-101B-9397-08002B2CF9AE}" pid="3" name="Creator">
    <vt:lpwstr>Canva</vt:lpwstr>
  </property>
  <property fmtid="{D5CDD505-2E9C-101B-9397-08002B2CF9AE}" pid="4" name="LastSaved">
    <vt:filetime>2025-09-11T00:00:00Z</vt:filetime>
  </property>
  <property fmtid="{D5CDD505-2E9C-101B-9397-08002B2CF9AE}" pid="5" name="Producer">
    <vt:lpwstr>Canva</vt:lpwstr>
  </property>
</Properties>
</file>