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A8DD0" w14:textId="6670A8EF" w:rsidR="009F0327" w:rsidRDefault="00C9260F">
      <w:pPr>
        <w:pStyle w:val="Ttulo1"/>
        <w:jc w:val="both"/>
      </w:pPr>
      <w:r>
        <w:rPr>
          <w:noProof/>
        </w:rPr>
        <w:drawing>
          <wp:anchor distT="0" distB="0" distL="114300" distR="114300" simplePos="0" relativeHeight="251658240" behindDoc="0" locked="0" layoutInCell="1" allowOverlap="1" wp14:anchorId="0B0DCE64" wp14:editId="4962F933">
            <wp:simplePos x="0" y="0"/>
            <wp:positionH relativeFrom="column">
              <wp:posOffset>-719456</wp:posOffset>
            </wp:positionH>
            <wp:positionV relativeFrom="paragraph">
              <wp:posOffset>-749300</wp:posOffset>
            </wp:positionV>
            <wp:extent cx="7556763" cy="10693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571109" cy="10713701"/>
                    </a:xfrm>
                    <a:prstGeom prst="rect">
                      <a:avLst/>
                    </a:prstGeom>
                  </pic:spPr>
                </pic:pic>
              </a:graphicData>
            </a:graphic>
            <wp14:sizeRelH relativeFrom="page">
              <wp14:pctWidth>0</wp14:pctWidth>
            </wp14:sizeRelH>
            <wp14:sizeRelV relativeFrom="page">
              <wp14:pctHeight>0</wp14:pctHeight>
            </wp14:sizeRelV>
          </wp:anchor>
        </w:drawing>
      </w:r>
    </w:p>
    <w:p w14:paraId="1CAF4D3D" w14:textId="77777777" w:rsidR="009F0327" w:rsidRDefault="009F0327">
      <w:pPr>
        <w:pBdr>
          <w:top w:val="nil"/>
          <w:left w:val="nil"/>
          <w:bottom w:val="nil"/>
          <w:right w:val="nil"/>
          <w:between w:val="nil"/>
        </w:pBdr>
        <w:jc w:val="center"/>
        <w:rPr>
          <w:rFonts w:ascii="Calibri" w:eastAsia="Calibri" w:hAnsi="Calibri" w:cs="Calibri"/>
          <w:b/>
          <w:sz w:val="48"/>
          <w:szCs w:val="48"/>
        </w:rPr>
      </w:pPr>
    </w:p>
    <w:p w14:paraId="0C32ED7D" w14:textId="77777777" w:rsidR="009F0327" w:rsidRDefault="009F0327">
      <w:pPr>
        <w:pBdr>
          <w:top w:val="nil"/>
          <w:left w:val="nil"/>
          <w:bottom w:val="nil"/>
          <w:right w:val="nil"/>
          <w:between w:val="nil"/>
        </w:pBdr>
        <w:jc w:val="center"/>
        <w:rPr>
          <w:rFonts w:ascii="Calibri" w:eastAsia="Calibri" w:hAnsi="Calibri" w:cs="Calibri"/>
          <w:b/>
          <w:sz w:val="48"/>
          <w:szCs w:val="48"/>
        </w:rPr>
      </w:pPr>
    </w:p>
    <w:p w14:paraId="18CD7D19" w14:textId="77777777" w:rsidR="009F0327" w:rsidRDefault="009F0327">
      <w:pPr>
        <w:pBdr>
          <w:top w:val="nil"/>
          <w:left w:val="nil"/>
          <w:bottom w:val="nil"/>
          <w:right w:val="nil"/>
          <w:between w:val="nil"/>
        </w:pBdr>
        <w:jc w:val="center"/>
        <w:rPr>
          <w:rFonts w:ascii="Arial" w:eastAsia="Arial" w:hAnsi="Arial" w:cs="Arial"/>
          <w:b/>
        </w:rPr>
      </w:pPr>
    </w:p>
    <w:p w14:paraId="1E44F3C3" w14:textId="77777777" w:rsidR="009F0327" w:rsidRDefault="009F0327">
      <w:pPr>
        <w:pBdr>
          <w:top w:val="nil"/>
          <w:left w:val="nil"/>
          <w:bottom w:val="nil"/>
          <w:right w:val="nil"/>
          <w:between w:val="nil"/>
        </w:pBdr>
        <w:jc w:val="center"/>
        <w:rPr>
          <w:rFonts w:ascii="Arial" w:eastAsia="Arial" w:hAnsi="Arial" w:cs="Arial"/>
          <w:b/>
        </w:rPr>
      </w:pPr>
    </w:p>
    <w:p w14:paraId="564844D9" w14:textId="77777777" w:rsidR="009F0327" w:rsidRDefault="009F0327">
      <w:pPr>
        <w:pBdr>
          <w:top w:val="nil"/>
          <w:left w:val="nil"/>
          <w:bottom w:val="nil"/>
          <w:right w:val="nil"/>
          <w:between w:val="nil"/>
        </w:pBdr>
        <w:jc w:val="center"/>
        <w:rPr>
          <w:rFonts w:ascii="Arial" w:eastAsia="Arial" w:hAnsi="Arial" w:cs="Arial"/>
          <w:b/>
        </w:rPr>
      </w:pPr>
    </w:p>
    <w:p w14:paraId="2D861DD6" w14:textId="77777777" w:rsidR="009F0327" w:rsidRDefault="009F0327">
      <w:pPr>
        <w:pBdr>
          <w:top w:val="nil"/>
          <w:left w:val="nil"/>
          <w:bottom w:val="nil"/>
          <w:right w:val="nil"/>
          <w:between w:val="nil"/>
        </w:pBdr>
        <w:jc w:val="center"/>
        <w:rPr>
          <w:rFonts w:ascii="Arial" w:eastAsia="Arial" w:hAnsi="Arial" w:cs="Arial"/>
          <w:b/>
        </w:rPr>
      </w:pPr>
    </w:p>
    <w:p w14:paraId="0D336EE4" w14:textId="77777777" w:rsidR="009F0327" w:rsidRDefault="009F0327">
      <w:pPr>
        <w:pBdr>
          <w:top w:val="nil"/>
          <w:left w:val="nil"/>
          <w:bottom w:val="nil"/>
          <w:right w:val="nil"/>
          <w:between w:val="nil"/>
        </w:pBdr>
        <w:jc w:val="center"/>
        <w:rPr>
          <w:rFonts w:ascii="Arial" w:eastAsia="Arial" w:hAnsi="Arial" w:cs="Arial"/>
          <w:b/>
        </w:rPr>
      </w:pPr>
    </w:p>
    <w:p w14:paraId="0931D3A2" w14:textId="77777777" w:rsidR="009F0327" w:rsidRDefault="009F0327">
      <w:pPr>
        <w:pBdr>
          <w:top w:val="nil"/>
          <w:left w:val="nil"/>
          <w:bottom w:val="nil"/>
          <w:right w:val="nil"/>
          <w:between w:val="nil"/>
        </w:pBdr>
        <w:jc w:val="center"/>
        <w:rPr>
          <w:rFonts w:ascii="Arial" w:eastAsia="Arial" w:hAnsi="Arial" w:cs="Arial"/>
          <w:b/>
        </w:rPr>
      </w:pPr>
    </w:p>
    <w:p w14:paraId="5790A72C" w14:textId="77777777" w:rsidR="009F0327" w:rsidRDefault="009F0327">
      <w:pPr>
        <w:pBdr>
          <w:top w:val="nil"/>
          <w:left w:val="nil"/>
          <w:bottom w:val="nil"/>
          <w:right w:val="nil"/>
          <w:between w:val="nil"/>
        </w:pBdr>
        <w:jc w:val="center"/>
        <w:rPr>
          <w:rFonts w:ascii="Arial" w:eastAsia="Arial" w:hAnsi="Arial" w:cs="Arial"/>
          <w:b/>
        </w:rPr>
      </w:pPr>
    </w:p>
    <w:p w14:paraId="636A1B19" w14:textId="77777777" w:rsidR="009F0327" w:rsidRDefault="009F0327">
      <w:pPr>
        <w:pBdr>
          <w:top w:val="nil"/>
          <w:left w:val="nil"/>
          <w:bottom w:val="nil"/>
          <w:right w:val="nil"/>
          <w:between w:val="nil"/>
        </w:pBdr>
        <w:jc w:val="center"/>
        <w:rPr>
          <w:rFonts w:ascii="Arial" w:eastAsia="Arial" w:hAnsi="Arial" w:cs="Arial"/>
          <w:b/>
        </w:rPr>
      </w:pPr>
    </w:p>
    <w:p w14:paraId="789E7F4C" w14:textId="77777777" w:rsidR="009F0327" w:rsidRDefault="009F0327">
      <w:pPr>
        <w:pBdr>
          <w:top w:val="nil"/>
          <w:left w:val="nil"/>
          <w:bottom w:val="nil"/>
          <w:right w:val="nil"/>
          <w:between w:val="nil"/>
        </w:pBdr>
        <w:jc w:val="center"/>
        <w:rPr>
          <w:rFonts w:ascii="Arial" w:eastAsia="Arial" w:hAnsi="Arial" w:cs="Arial"/>
          <w:b/>
        </w:rPr>
      </w:pPr>
    </w:p>
    <w:p w14:paraId="7386720E" w14:textId="77777777" w:rsidR="009F0327" w:rsidRDefault="009F0327">
      <w:pPr>
        <w:pBdr>
          <w:top w:val="nil"/>
          <w:left w:val="nil"/>
          <w:bottom w:val="nil"/>
          <w:right w:val="nil"/>
          <w:between w:val="nil"/>
        </w:pBdr>
        <w:jc w:val="center"/>
        <w:rPr>
          <w:rFonts w:ascii="Arial" w:eastAsia="Arial" w:hAnsi="Arial" w:cs="Arial"/>
          <w:b/>
        </w:rPr>
      </w:pPr>
    </w:p>
    <w:p w14:paraId="07D26F36" w14:textId="77777777" w:rsidR="009F0327" w:rsidRDefault="009F0327">
      <w:pPr>
        <w:pBdr>
          <w:top w:val="nil"/>
          <w:left w:val="nil"/>
          <w:bottom w:val="nil"/>
          <w:right w:val="nil"/>
          <w:between w:val="nil"/>
        </w:pBdr>
        <w:jc w:val="center"/>
        <w:rPr>
          <w:rFonts w:ascii="Arial" w:eastAsia="Arial" w:hAnsi="Arial" w:cs="Arial"/>
          <w:b/>
        </w:rPr>
      </w:pPr>
    </w:p>
    <w:p w14:paraId="2F01224A" w14:textId="77777777" w:rsidR="009F0327" w:rsidRDefault="009F0327">
      <w:pPr>
        <w:pBdr>
          <w:top w:val="nil"/>
          <w:left w:val="nil"/>
          <w:bottom w:val="nil"/>
          <w:right w:val="nil"/>
          <w:between w:val="nil"/>
        </w:pBdr>
        <w:jc w:val="center"/>
        <w:rPr>
          <w:rFonts w:ascii="Arial" w:eastAsia="Arial" w:hAnsi="Arial" w:cs="Arial"/>
          <w:b/>
        </w:rPr>
      </w:pPr>
    </w:p>
    <w:p w14:paraId="598D4926" w14:textId="77777777" w:rsidR="009F0327" w:rsidRDefault="009F0327">
      <w:pPr>
        <w:pBdr>
          <w:top w:val="nil"/>
          <w:left w:val="nil"/>
          <w:bottom w:val="nil"/>
          <w:right w:val="nil"/>
          <w:between w:val="nil"/>
        </w:pBdr>
        <w:jc w:val="center"/>
        <w:rPr>
          <w:rFonts w:ascii="Arial" w:eastAsia="Arial" w:hAnsi="Arial" w:cs="Arial"/>
          <w:b/>
        </w:rPr>
      </w:pPr>
    </w:p>
    <w:p w14:paraId="1C3C0F99" w14:textId="77777777" w:rsidR="009F0327" w:rsidRDefault="009F0327">
      <w:pPr>
        <w:pBdr>
          <w:top w:val="nil"/>
          <w:left w:val="nil"/>
          <w:bottom w:val="nil"/>
          <w:right w:val="nil"/>
          <w:between w:val="nil"/>
        </w:pBdr>
        <w:jc w:val="center"/>
        <w:rPr>
          <w:rFonts w:ascii="Arial" w:eastAsia="Arial" w:hAnsi="Arial" w:cs="Arial"/>
          <w:b/>
        </w:rPr>
      </w:pPr>
    </w:p>
    <w:p w14:paraId="472F1D6C" w14:textId="77777777" w:rsidR="009F0327" w:rsidRDefault="009F0327">
      <w:pPr>
        <w:pBdr>
          <w:top w:val="nil"/>
          <w:left w:val="nil"/>
          <w:bottom w:val="nil"/>
          <w:right w:val="nil"/>
          <w:between w:val="nil"/>
        </w:pBdr>
        <w:jc w:val="center"/>
        <w:rPr>
          <w:rFonts w:ascii="Arial" w:eastAsia="Arial" w:hAnsi="Arial" w:cs="Arial"/>
          <w:b/>
        </w:rPr>
      </w:pPr>
    </w:p>
    <w:p w14:paraId="7588A4F4" w14:textId="77777777" w:rsidR="009F0327" w:rsidRDefault="009F0327">
      <w:pPr>
        <w:pBdr>
          <w:top w:val="nil"/>
          <w:left w:val="nil"/>
          <w:bottom w:val="nil"/>
          <w:right w:val="nil"/>
          <w:between w:val="nil"/>
        </w:pBdr>
        <w:jc w:val="center"/>
        <w:rPr>
          <w:rFonts w:ascii="Arial" w:eastAsia="Arial" w:hAnsi="Arial" w:cs="Arial"/>
          <w:b/>
        </w:rPr>
      </w:pPr>
    </w:p>
    <w:p w14:paraId="162D13FD" w14:textId="77777777" w:rsidR="009F0327" w:rsidRDefault="009F0327">
      <w:pPr>
        <w:pBdr>
          <w:top w:val="nil"/>
          <w:left w:val="nil"/>
          <w:bottom w:val="nil"/>
          <w:right w:val="nil"/>
          <w:between w:val="nil"/>
        </w:pBdr>
        <w:jc w:val="center"/>
        <w:rPr>
          <w:rFonts w:ascii="Arial" w:eastAsia="Arial" w:hAnsi="Arial" w:cs="Arial"/>
          <w:b/>
        </w:rPr>
      </w:pPr>
    </w:p>
    <w:p w14:paraId="5A648163" w14:textId="77777777" w:rsidR="009F0327" w:rsidRDefault="009F0327">
      <w:pPr>
        <w:pBdr>
          <w:top w:val="nil"/>
          <w:left w:val="nil"/>
          <w:bottom w:val="nil"/>
          <w:right w:val="nil"/>
          <w:between w:val="nil"/>
        </w:pBdr>
        <w:jc w:val="center"/>
        <w:rPr>
          <w:rFonts w:ascii="Arial" w:eastAsia="Arial" w:hAnsi="Arial" w:cs="Arial"/>
          <w:b/>
        </w:rPr>
      </w:pPr>
    </w:p>
    <w:p w14:paraId="5CC4A0CF" w14:textId="77777777" w:rsidR="009F0327" w:rsidRDefault="009F0327">
      <w:pPr>
        <w:pBdr>
          <w:top w:val="nil"/>
          <w:left w:val="nil"/>
          <w:bottom w:val="nil"/>
          <w:right w:val="nil"/>
          <w:between w:val="nil"/>
        </w:pBdr>
        <w:jc w:val="center"/>
        <w:rPr>
          <w:rFonts w:ascii="Arial" w:eastAsia="Arial" w:hAnsi="Arial" w:cs="Arial"/>
          <w:b/>
        </w:rPr>
      </w:pPr>
    </w:p>
    <w:p w14:paraId="7E5A09F9" w14:textId="77777777" w:rsidR="009F0327" w:rsidRDefault="009F0327">
      <w:pPr>
        <w:pBdr>
          <w:top w:val="nil"/>
          <w:left w:val="nil"/>
          <w:bottom w:val="nil"/>
          <w:right w:val="nil"/>
          <w:between w:val="nil"/>
        </w:pBdr>
        <w:jc w:val="center"/>
        <w:rPr>
          <w:rFonts w:ascii="Arial" w:eastAsia="Arial" w:hAnsi="Arial" w:cs="Arial"/>
          <w:b/>
        </w:rPr>
      </w:pPr>
    </w:p>
    <w:p w14:paraId="5F3DA16C" w14:textId="77777777" w:rsidR="009F0327" w:rsidRDefault="009F0327">
      <w:pPr>
        <w:pBdr>
          <w:top w:val="nil"/>
          <w:left w:val="nil"/>
          <w:bottom w:val="nil"/>
          <w:right w:val="nil"/>
          <w:between w:val="nil"/>
        </w:pBdr>
        <w:jc w:val="center"/>
        <w:rPr>
          <w:rFonts w:ascii="Arial" w:eastAsia="Arial" w:hAnsi="Arial" w:cs="Arial"/>
          <w:b/>
        </w:rPr>
      </w:pPr>
    </w:p>
    <w:p w14:paraId="5A6691C3" w14:textId="77777777" w:rsidR="009F0327" w:rsidRDefault="009F0327">
      <w:pPr>
        <w:pBdr>
          <w:top w:val="nil"/>
          <w:left w:val="nil"/>
          <w:bottom w:val="nil"/>
          <w:right w:val="nil"/>
          <w:between w:val="nil"/>
        </w:pBdr>
        <w:jc w:val="center"/>
        <w:rPr>
          <w:rFonts w:ascii="Arial" w:eastAsia="Arial" w:hAnsi="Arial" w:cs="Arial"/>
          <w:b/>
        </w:rPr>
      </w:pPr>
    </w:p>
    <w:p w14:paraId="2BF2C467" w14:textId="77777777" w:rsidR="009F0327" w:rsidRDefault="009F0327">
      <w:pPr>
        <w:pBdr>
          <w:top w:val="nil"/>
          <w:left w:val="nil"/>
          <w:bottom w:val="nil"/>
          <w:right w:val="nil"/>
          <w:between w:val="nil"/>
        </w:pBdr>
        <w:jc w:val="center"/>
        <w:rPr>
          <w:rFonts w:ascii="Arial" w:eastAsia="Arial" w:hAnsi="Arial" w:cs="Arial"/>
          <w:b/>
        </w:rPr>
      </w:pPr>
    </w:p>
    <w:p w14:paraId="1B655FBD" w14:textId="77777777" w:rsidR="009F0327" w:rsidRDefault="00C07ED9">
      <w:pPr>
        <w:pBdr>
          <w:top w:val="nil"/>
          <w:left w:val="nil"/>
          <w:bottom w:val="nil"/>
          <w:right w:val="nil"/>
          <w:between w:val="nil"/>
        </w:pBdr>
        <w:tabs>
          <w:tab w:val="left" w:pos="2131"/>
        </w:tabs>
        <w:rPr>
          <w:rFonts w:ascii="Arial" w:eastAsia="Arial" w:hAnsi="Arial" w:cs="Arial"/>
          <w:b/>
        </w:rPr>
      </w:pPr>
      <w:r>
        <w:rPr>
          <w:rFonts w:ascii="Arial" w:eastAsia="Arial" w:hAnsi="Arial" w:cs="Arial"/>
          <w:b/>
        </w:rPr>
        <w:tab/>
      </w:r>
    </w:p>
    <w:p w14:paraId="1B16919B" w14:textId="77777777" w:rsidR="009F0327" w:rsidRDefault="009F0327">
      <w:pPr>
        <w:spacing w:before="161" w:line="393" w:lineRule="auto"/>
        <w:ind w:left="282" w:right="4159" w:firstLine="3887"/>
        <w:rPr>
          <w:rFonts w:ascii="Arial" w:eastAsia="Arial" w:hAnsi="Arial" w:cs="Arial"/>
          <w:b/>
        </w:rPr>
      </w:pPr>
    </w:p>
    <w:p w14:paraId="4BDCA6C6" w14:textId="77777777" w:rsidR="009F0327" w:rsidRDefault="009F0327">
      <w:pPr>
        <w:pBdr>
          <w:top w:val="nil"/>
          <w:left w:val="nil"/>
          <w:bottom w:val="nil"/>
          <w:right w:val="nil"/>
          <w:between w:val="nil"/>
        </w:pBdr>
        <w:rPr>
          <w:rFonts w:ascii="Arial" w:eastAsia="Arial" w:hAnsi="Arial" w:cs="Arial"/>
          <w:b/>
        </w:rPr>
      </w:pPr>
    </w:p>
    <w:p w14:paraId="6AF6CDFF" w14:textId="77777777" w:rsidR="009F0327" w:rsidRDefault="009F0327">
      <w:pPr>
        <w:pBdr>
          <w:top w:val="nil"/>
          <w:left w:val="nil"/>
          <w:bottom w:val="nil"/>
          <w:right w:val="nil"/>
          <w:between w:val="nil"/>
        </w:pBdr>
        <w:rPr>
          <w:rFonts w:ascii="Arial" w:eastAsia="Arial" w:hAnsi="Arial" w:cs="Arial"/>
          <w:b/>
        </w:rPr>
      </w:pPr>
    </w:p>
    <w:p w14:paraId="1949A833" w14:textId="77777777" w:rsidR="009F0327" w:rsidRDefault="009F0327">
      <w:pPr>
        <w:pBdr>
          <w:top w:val="nil"/>
          <w:left w:val="nil"/>
          <w:bottom w:val="nil"/>
          <w:right w:val="nil"/>
          <w:between w:val="nil"/>
        </w:pBdr>
        <w:rPr>
          <w:rFonts w:ascii="Arial" w:eastAsia="Arial" w:hAnsi="Arial" w:cs="Arial"/>
          <w:b/>
        </w:rPr>
      </w:pPr>
    </w:p>
    <w:p w14:paraId="39C66A0B" w14:textId="77777777" w:rsidR="009F0327" w:rsidRDefault="009F0327">
      <w:pPr>
        <w:pBdr>
          <w:top w:val="nil"/>
          <w:left w:val="nil"/>
          <w:bottom w:val="nil"/>
          <w:right w:val="nil"/>
          <w:between w:val="nil"/>
        </w:pBdr>
        <w:rPr>
          <w:rFonts w:ascii="Arial" w:eastAsia="Arial" w:hAnsi="Arial" w:cs="Arial"/>
          <w:b/>
        </w:rPr>
      </w:pPr>
    </w:p>
    <w:p w14:paraId="0BDF06B5" w14:textId="77777777" w:rsidR="009F0327" w:rsidRDefault="009F0327">
      <w:pPr>
        <w:pBdr>
          <w:top w:val="nil"/>
          <w:left w:val="nil"/>
          <w:bottom w:val="nil"/>
          <w:right w:val="nil"/>
          <w:between w:val="nil"/>
        </w:pBdr>
        <w:rPr>
          <w:rFonts w:ascii="Arial" w:eastAsia="Arial" w:hAnsi="Arial" w:cs="Arial"/>
          <w:b/>
        </w:rPr>
      </w:pPr>
    </w:p>
    <w:p w14:paraId="06111803" w14:textId="77777777" w:rsidR="009F0327" w:rsidRDefault="009F0327">
      <w:pPr>
        <w:pBdr>
          <w:top w:val="nil"/>
          <w:left w:val="nil"/>
          <w:bottom w:val="nil"/>
          <w:right w:val="nil"/>
          <w:between w:val="nil"/>
        </w:pBdr>
        <w:rPr>
          <w:rFonts w:ascii="Arial" w:eastAsia="Arial" w:hAnsi="Arial" w:cs="Arial"/>
          <w:b/>
        </w:rPr>
      </w:pPr>
    </w:p>
    <w:p w14:paraId="58D2DECA" w14:textId="77777777" w:rsidR="009F0327" w:rsidRDefault="009F0327">
      <w:pPr>
        <w:pBdr>
          <w:top w:val="nil"/>
          <w:left w:val="nil"/>
          <w:bottom w:val="nil"/>
          <w:right w:val="nil"/>
          <w:between w:val="nil"/>
        </w:pBdr>
        <w:rPr>
          <w:rFonts w:ascii="Arial" w:eastAsia="Arial" w:hAnsi="Arial" w:cs="Arial"/>
          <w:b/>
        </w:rPr>
      </w:pPr>
    </w:p>
    <w:p w14:paraId="2CB9D1F6" w14:textId="77777777" w:rsidR="009F0327" w:rsidRDefault="009F0327">
      <w:pPr>
        <w:pBdr>
          <w:top w:val="nil"/>
          <w:left w:val="nil"/>
          <w:bottom w:val="nil"/>
          <w:right w:val="nil"/>
          <w:between w:val="nil"/>
        </w:pBdr>
        <w:rPr>
          <w:rFonts w:ascii="Arial" w:eastAsia="Arial" w:hAnsi="Arial" w:cs="Arial"/>
          <w:b/>
        </w:rPr>
      </w:pPr>
    </w:p>
    <w:p w14:paraId="6FB89764" w14:textId="77777777" w:rsidR="009F0327" w:rsidRDefault="009F0327">
      <w:pPr>
        <w:pBdr>
          <w:top w:val="nil"/>
          <w:left w:val="nil"/>
          <w:bottom w:val="nil"/>
          <w:right w:val="nil"/>
          <w:between w:val="nil"/>
        </w:pBdr>
        <w:rPr>
          <w:rFonts w:ascii="Arial" w:eastAsia="Arial" w:hAnsi="Arial" w:cs="Arial"/>
          <w:b/>
        </w:rPr>
      </w:pPr>
    </w:p>
    <w:p w14:paraId="1794CD0B" w14:textId="77777777" w:rsidR="009F0327" w:rsidRDefault="009F0327">
      <w:pPr>
        <w:pBdr>
          <w:top w:val="nil"/>
          <w:left w:val="nil"/>
          <w:bottom w:val="nil"/>
          <w:right w:val="nil"/>
          <w:between w:val="nil"/>
        </w:pBdr>
        <w:rPr>
          <w:rFonts w:ascii="Arial" w:eastAsia="Arial" w:hAnsi="Arial" w:cs="Arial"/>
          <w:b/>
        </w:rPr>
      </w:pPr>
    </w:p>
    <w:p w14:paraId="428AE042" w14:textId="77777777" w:rsidR="009F0327" w:rsidRDefault="009F0327">
      <w:pPr>
        <w:pBdr>
          <w:top w:val="nil"/>
          <w:left w:val="nil"/>
          <w:bottom w:val="nil"/>
          <w:right w:val="nil"/>
          <w:between w:val="nil"/>
        </w:pBdr>
        <w:rPr>
          <w:rFonts w:ascii="Arial" w:eastAsia="Arial" w:hAnsi="Arial" w:cs="Arial"/>
          <w:b/>
        </w:rPr>
      </w:pPr>
    </w:p>
    <w:p w14:paraId="64CA25D5" w14:textId="77777777" w:rsidR="009F0327" w:rsidRDefault="009F0327">
      <w:pPr>
        <w:pBdr>
          <w:top w:val="nil"/>
          <w:left w:val="nil"/>
          <w:bottom w:val="nil"/>
          <w:right w:val="nil"/>
          <w:between w:val="nil"/>
        </w:pBdr>
        <w:rPr>
          <w:rFonts w:ascii="Arial" w:eastAsia="Arial" w:hAnsi="Arial" w:cs="Arial"/>
          <w:b/>
        </w:rPr>
      </w:pPr>
    </w:p>
    <w:p w14:paraId="3A1A3EC3" w14:textId="77777777" w:rsidR="009F0327" w:rsidRDefault="009F0327">
      <w:pPr>
        <w:pBdr>
          <w:top w:val="nil"/>
          <w:left w:val="nil"/>
          <w:bottom w:val="nil"/>
          <w:right w:val="nil"/>
          <w:between w:val="nil"/>
        </w:pBdr>
        <w:rPr>
          <w:rFonts w:ascii="Arial" w:eastAsia="Arial" w:hAnsi="Arial" w:cs="Arial"/>
          <w:b/>
        </w:rPr>
      </w:pPr>
    </w:p>
    <w:p w14:paraId="1BE68546" w14:textId="77777777" w:rsidR="009F0327" w:rsidRDefault="009F0327">
      <w:pPr>
        <w:pBdr>
          <w:top w:val="nil"/>
          <w:left w:val="nil"/>
          <w:bottom w:val="nil"/>
          <w:right w:val="nil"/>
          <w:between w:val="nil"/>
        </w:pBdr>
        <w:rPr>
          <w:rFonts w:ascii="Arial" w:eastAsia="Arial" w:hAnsi="Arial" w:cs="Arial"/>
          <w:b/>
        </w:rPr>
      </w:pPr>
    </w:p>
    <w:p w14:paraId="75939E60" w14:textId="77777777" w:rsidR="009F0327" w:rsidRDefault="009F0327">
      <w:pPr>
        <w:pBdr>
          <w:top w:val="nil"/>
          <w:left w:val="nil"/>
          <w:bottom w:val="nil"/>
          <w:right w:val="nil"/>
          <w:between w:val="nil"/>
        </w:pBdr>
        <w:rPr>
          <w:rFonts w:ascii="Arial" w:eastAsia="Arial" w:hAnsi="Arial" w:cs="Arial"/>
          <w:b/>
        </w:rPr>
      </w:pPr>
    </w:p>
    <w:p w14:paraId="3B2FC1CF" w14:textId="77777777" w:rsidR="009F0327" w:rsidRDefault="009F0327">
      <w:pPr>
        <w:pBdr>
          <w:top w:val="nil"/>
          <w:left w:val="nil"/>
          <w:bottom w:val="nil"/>
          <w:right w:val="nil"/>
          <w:between w:val="nil"/>
        </w:pBdr>
        <w:rPr>
          <w:rFonts w:ascii="Arial" w:eastAsia="Arial" w:hAnsi="Arial" w:cs="Arial"/>
          <w:b/>
        </w:rPr>
      </w:pPr>
    </w:p>
    <w:p w14:paraId="322B02A2" w14:textId="77777777" w:rsidR="009F0327" w:rsidRDefault="009F0327">
      <w:pPr>
        <w:pBdr>
          <w:top w:val="nil"/>
          <w:left w:val="nil"/>
          <w:bottom w:val="nil"/>
          <w:right w:val="nil"/>
          <w:between w:val="nil"/>
        </w:pBdr>
        <w:rPr>
          <w:rFonts w:ascii="Arial" w:eastAsia="Arial" w:hAnsi="Arial" w:cs="Arial"/>
          <w:b/>
        </w:rPr>
      </w:pPr>
    </w:p>
    <w:p w14:paraId="3710D1ED" w14:textId="77777777" w:rsidR="009F0327" w:rsidRDefault="009F0327">
      <w:pPr>
        <w:pBdr>
          <w:top w:val="nil"/>
          <w:left w:val="nil"/>
          <w:bottom w:val="nil"/>
          <w:right w:val="nil"/>
          <w:between w:val="nil"/>
        </w:pBdr>
        <w:rPr>
          <w:rFonts w:ascii="Arial" w:eastAsia="Arial" w:hAnsi="Arial" w:cs="Arial"/>
          <w:b/>
        </w:rPr>
      </w:pPr>
    </w:p>
    <w:p w14:paraId="1B52391B" w14:textId="77777777" w:rsidR="009F0327" w:rsidRDefault="009F0327">
      <w:pPr>
        <w:pBdr>
          <w:top w:val="nil"/>
          <w:left w:val="nil"/>
          <w:bottom w:val="nil"/>
          <w:right w:val="nil"/>
          <w:between w:val="nil"/>
        </w:pBdr>
        <w:rPr>
          <w:rFonts w:ascii="Arial" w:eastAsia="Arial" w:hAnsi="Arial" w:cs="Arial"/>
          <w:b/>
        </w:rPr>
      </w:pPr>
    </w:p>
    <w:p w14:paraId="3C6589A4" w14:textId="77777777" w:rsidR="009F0327" w:rsidRDefault="009F0327">
      <w:pPr>
        <w:pBdr>
          <w:top w:val="nil"/>
          <w:left w:val="nil"/>
          <w:bottom w:val="nil"/>
          <w:right w:val="nil"/>
          <w:between w:val="nil"/>
        </w:pBdr>
        <w:rPr>
          <w:rFonts w:ascii="Arial" w:eastAsia="Arial" w:hAnsi="Arial" w:cs="Arial"/>
          <w:b/>
        </w:rPr>
      </w:pPr>
    </w:p>
    <w:p w14:paraId="1E5E2156" w14:textId="77777777" w:rsidR="009F0327" w:rsidRDefault="009F0327">
      <w:pPr>
        <w:pBdr>
          <w:top w:val="nil"/>
          <w:left w:val="nil"/>
          <w:bottom w:val="nil"/>
          <w:right w:val="nil"/>
          <w:between w:val="nil"/>
        </w:pBdr>
        <w:rPr>
          <w:rFonts w:ascii="Arial" w:eastAsia="Arial" w:hAnsi="Arial" w:cs="Arial"/>
          <w:b/>
        </w:rPr>
      </w:pPr>
    </w:p>
    <w:p w14:paraId="1C31A208" w14:textId="77777777" w:rsidR="009F0327" w:rsidRDefault="009F0327">
      <w:pPr>
        <w:pBdr>
          <w:top w:val="nil"/>
          <w:left w:val="nil"/>
          <w:bottom w:val="nil"/>
          <w:right w:val="nil"/>
          <w:between w:val="nil"/>
        </w:pBdr>
        <w:rPr>
          <w:rFonts w:ascii="Arial" w:eastAsia="Arial" w:hAnsi="Arial" w:cs="Arial"/>
          <w:b/>
        </w:rPr>
      </w:pPr>
    </w:p>
    <w:p w14:paraId="3721D2D1" w14:textId="77777777" w:rsidR="009F0327" w:rsidRDefault="009F0327">
      <w:pPr>
        <w:pBdr>
          <w:top w:val="nil"/>
          <w:left w:val="nil"/>
          <w:bottom w:val="nil"/>
          <w:right w:val="nil"/>
          <w:between w:val="nil"/>
        </w:pBdr>
        <w:rPr>
          <w:rFonts w:ascii="Arial" w:eastAsia="Arial" w:hAnsi="Arial" w:cs="Arial"/>
          <w:b/>
        </w:rPr>
      </w:pPr>
    </w:p>
    <w:p w14:paraId="27A16176" w14:textId="77777777" w:rsidR="009F0327" w:rsidRDefault="009F0327">
      <w:pPr>
        <w:pBdr>
          <w:top w:val="nil"/>
          <w:left w:val="nil"/>
          <w:bottom w:val="nil"/>
          <w:right w:val="nil"/>
          <w:between w:val="nil"/>
        </w:pBdr>
        <w:rPr>
          <w:rFonts w:ascii="Arial" w:eastAsia="Arial" w:hAnsi="Arial" w:cs="Arial"/>
          <w:b/>
        </w:rPr>
      </w:pPr>
    </w:p>
    <w:p w14:paraId="7524B4EB" w14:textId="77777777" w:rsidR="009F0327" w:rsidRDefault="009F0327">
      <w:pPr>
        <w:pBdr>
          <w:top w:val="nil"/>
          <w:left w:val="nil"/>
          <w:bottom w:val="nil"/>
          <w:right w:val="nil"/>
          <w:between w:val="nil"/>
        </w:pBdr>
        <w:rPr>
          <w:rFonts w:ascii="Arial" w:eastAsia="Arial" w:hAnsi="Arial" w:cs="Arial"/>
          <w:b/>
        </w:rPr>
      </w:pPr>
    </w:p>
    <w:p w14:paraId="1C3D9F66" w14:textId="77777777" w:rsidR="009F0327" w:rsidRDefault="009F0327">
      <w:pPr>
        <w:pBdr>
          <w:top w:val="nil"/>
          <w:left w:val="nil"/>
          <w:bottom w:val="nil"/>
          <w:right w:val="nil"/>
          <w:between w:val="nil"/>
        </w:pBdr>
        <w:rPr>
          <w:rFonts w:ascii="Arial" w:eastAsia="Arial" w:hAnsi="Arial" w:cs="Arial"/>
          <w:b/>
        </w:rPr>
      </w:pPr>
    </w:p>
    <w:p w14:paraId="0318C1A2" w14:textId="77777777" w:rsidR="009F0327" w:rsidRDefault="009F0327">
      <w:pPr>
        <w:pBdr>
          <w:top w:val="nil"/>
          <w:left w:val="nil"/>
          <w:bottom w:val="nil"/>
          <w:right w:val="nil"/>
          <w:between w:val="nil"/>
        </w:pBdr>
        <w:rPr>
          <w:rFonts w:ascii="Arial" w:eastAsia="Arial" w:hAnsi="Arial" w:cs="Arial"/>
          <w:b/>
        </w:rPr>
      </w:pPr>
    </w:p>
    <w:p w14:paraId="67C91274" w14:textId="77777777" w:rsidR="009F0327" w:rsidRDefault="009F0327">
      <w:pPr>
        <w:pBdr>
          <w:top w:val="nil"/>
          <w:left w:val="nil"/>
          <w:bottom w:val="nil"/>
          <w:right w:val="nil"/>
          <w:between w:val="nil"/>
        </w:pBdr>
        <w:rPr>
          <w:rFonts w:ascii="Arial" w:eastAsia="Arial" w:hAnsi="Arial" w:cs="Arial"/>
          <w:b/>
        </w:rPr>
      </w:pPr>
    </w:p>
    <w:p w14:paraId="27D5EB99" w14:textId="77777777" w:rsidR="009F0327" w:rsidRDefault="009F0327">
      <w:pPr>
        <w:pBdr>
          <w:top w:val="nil"/>
          <w:left w:val="nil"/>
          <w:bottom w:val="nil"/>
          <w:right w:val="nil"/>
          <w:between w:val="nil"/>
        </w:pBdr>
        <w:rPr>
          <w:rFonts w:ascii="Arial" w:eastAsia="Arial" w:hAnsi="Arial" w:cs="Arial"/>
          <w:b/>
        </w:rPr>
      </w:pPr>
    </w:p>
    <w:p w14:paraId="54BC15F0" w14:textId="77777777" w:rsidR="009F0327" w:rsidRDefault="009F0327">
      <w:pPr>
        <w:pBdr>
          <w:top w:val="nil"/>
          <w:left w:val="nil"/>
          <w:bottom w:val="nil"/>
          <w:right w:val="nil"/>
          <w:between w:val="nil"/>
        </w:pBdr>
        <w:rPr>
          <w:rFonts w:ascii="Arial" w:eastAsia="Arial" w:hAnsi="Arial" w:cs="Arial"/>
          <w:b/>
        </w:rPr>
      </w:pPr>
    </w:p>
    <w:p w14:paraId="4EA26B5B" w14:textId="77777777" w:rsidR="009F0327" w:rsidRDefault="009F0327">
      <w:pPr>
        <w:pBdr>
          <w:top w:val="nil"/>
          <w:left w:val="nil"/>
          <w:bottom w:val="nil"/>
          <w:right w:val="nil"/>
          <w:between w:val="nil"/>
        </w:pBdr>
        <w:rPr>
          <w:rFonts w:ascii="Arial" w:eastAsia="Arial" w:hAnsi="Arial" w:cs="Arial"/>
          <w:b/>
        </w:rPr>
      </w:pPr>
    </w:p>
    <w:p w14:paraId="47FD73BA" w14:textId="77777777" w:rsidR="009F0327" w:rsidRDefault="009F0327">
      <w:pPr>
        <w:pBdr>
          <w:top w:val="nil"/>
          <w:left w:val="nil"/>
          <w:bottom w:val="nil"/>
          <w:right w:val="nil"/>
          <w:between w:val="nil"/>
        </w:pBdr>
        <w:rPr>
          <w:rFonts w:ascii="Arial" w:eastAsia="Arial" w:hAnsi="Arial" w:cs="Arial"/>
          <w:b/>
        </w:rPr>
      </w:pPr>
    </w:p>
    <w:p w14:paraId="614D6F19" w14:textId="77777777" w:rsidR="009F0327" w:rsidRDefault="009F0327">
      <w:pPr>
        <w:pBdr>
          <w:top w:val="nil"/>
          <w:left w:val="nil"/>
          <w:bottom w:val="nil"/>
          <w:right w:val="nil"/>
          <w:between w:val="nil"/>
        </w:pBdr>
        <w:rPr>
          <w:rFonts w:ascii="Arial" w:eastAsia="Arial" w:hAnsi="Arial" w:cs="Arial"/>
          <w:b/>
        </w:rPr>
      </w:pPr>
    </w:p>
    <w:p w14:paraId="72AC0BB0" w14:textId="77777777" w:rsidR="009F0327" w:rsidRDefault="009F0327">
      <w:pPr>
        <w:pBdr>
          <w:top w:val="nil"/>
          <w:left w:val="nil"/>
          <w:bottom w:val="nil"/>
          <w:right w:val="nil"/>
          <w:between w:val="nil"/>
        </w:pBdr>
        <w:rPr>
          <w:rFonts w:ascii="Arial" w:eastAsia="Arial" w:hAnsi="Arial" w:cs="Arial"/>
          <w:b/>
        </w:rPr>
      </w:pPr>
    </w:p>
    <w:p w14:paraId="4D495792" w14:textId="77777777" w:rsidR="009F0327" w:rsidRDefault="009F0327">
      <w:pPr>
        <w:pBdr>
          <w:top w:val="nil"/>
          <w:left w:val="nil"/>
          <w:bottom w:val="nil"/>
          <w:right w:val="nil"/>
          <w:between w:val="nil"/>
        </w:pBdr>
        <w:rPr>
          <w:rFonts w:ascii="Arial" w:eastAsia="Arial" w:hAnsi="Arial" w:cs="Arial"/>
          <w:b/>
        </w:rPr>
      </w:pPr>
    </w:p>
    <w:p w14:paraId="11B166F7" w14:textId="77777777" w:rsidR="009F0327" w:rsidRDefault="009F0327">
      <w:pPr>
        <w:pBdr>
          <w:top w:val="nil"/>
          <w:left w:val="nil"/>
          <w:bottom w:val="nil"/>
          <w:right w:val="nil"/>
          <w:between w:val="nil"/>
        </w:pBdr>
        <w:rPr>
          <w:rFonts w:ascii="Arial" w:eastAsia="Arial" w:hAnsi="Arial" w:cs="Arial"/>
          <w:b/>
        </w:rPr>
      </w:pPr>
    </w:p>
    <w:p w14:paraId="5DC7CCEC" w14:textId="77777777" w:rsidR="009F0327" w:rsidRDefault="009F0327">
      <w:pPr>
        <w:pBdr>
          <w:top w:val="nil"/>
          <w:left w:val="nil"/>
          <w:bottom w:val="nil"/>
          <w:right w:val="nil"/>
          <w:between w:val="nil"/>
        </w:pBdr>
        <w:rPr>
          <w:rFonts w:ascii="Arial" w:eastAsia="Arial" w:hAnsi="Arial" w:cs="Arial"/>
          <w:b/>
        </w:rPr>
      </w:pPr>
    </w:p>
    <w:p w14:paraId="550D669B" w14:textId="77777777" w:rsidR="009F0327" w:rsidRDefault="009F0327">
      <w:pPr>
        <w:pBdr>
          <w:top w:val="nil"/>
          <w:left w:val="nil"/>
          <w:bottom w:val="nil"/>
          <w:right w:val="nil"/>
          <w:between w:val="nil"/>
        </w:pBdr>
        <w:rPr>
          <w:rFonts w:ascii="Arial" w:eastAsia="Arial" w:hAnsi="Arial" w:cs="Arial"/>
          <w:b/>
        </w:rPr>
      </w:pPr>
    </w:p>
    <w:p w14:paraId="7E261F39" w14:textId="74FEE846" w:rsidR="009F0327" w:rsidRDefault="00C9260F" w:rsidP="00C9260F">
      <w:pPr>
        <w:pBdr>
          <w:top w:val="nil"/>
          <w:left w:val="nil"/>
          <w:bottom w:val="nil"/>
          <w:right w:val="nil"/>
          <w:between w:val="nil"/>
        </w:pBdr>
        <w:tabs>
          <w:tab w:val="left" w:pos="7200"/>
        </w:tabs>
        <w:rPr>
          <w:rFonts w:ascii="Arial" w:eastAsia="Arial" w:hAnsi="Arial" w:cs="Arial"/>
          <w:b/>
          <w:sz w:val="26"/>
          <w:szCs w:val="26"/>
        </w:rPr>
      </w:pPr>
      <w:r>
        <w:rPr>
          <w:rFonts w:ascii="Arial" w:eastAsia="Arial" w:hAnsi="Arial" w:cs="Arial"/>
          <w:b/>
          <w:sz w:val="26"/>
          <w:szCs w:val="26"/>
        </w:rPr>
        <w:tab/>
      </w:r>
    </w:p>
    <w:p w14:paraId="1788C286" w14:textId="77777777" w:rsidR="009F0327" w:rsidRDefault="009F0327">
      <w:pPr>
        <w:pBdr>
          <w:top w:val="nil"/>
          <w:left w:val="nil"/>
          <w:bottom w:val="nil"/>
          <w:right w:val="nil"/>
          <w:between w:val="nil"/>
        </w:pBdr>
        <w:jc w:val="center"/>
        <w:rPr>
          <w:rFonts w:ascii="Arial" w:eastAsia="Arial" w:hAnsi="Arial" w:cs="Arial"/>
          <w:b/>
          <w:sz w:val="26"/>
          <w:szCs w:val="26"/>
        </w:rPr>
      </w:pPr>
    </w:p>
    <w:p w14:paraId="749B490C" w14:textId="77777777" w:rsidR="009F0327" w:rsidRDefault="00C07ED9">
      <w:pPr>
        <w:pBdr>
          <w:top w:val="nil"/>
          <w:left w:val="nil"/>
          <w:bottom w:val="nil"/>
          <w:right w:val="nil"/>
          <w:between w:val="nil"/>
        </w:pBdr>
        <w:jc w:val="center"/>
        <w:rPr>
          <w:rFonts w:ascii="Arial" w:eastAsia="Arial" w:hAnsi="Arial" w:cs="Arial"/>
          <w:b/>
          <w:sz w:val="26"/>
          <w:szCs w:val="26"/>
        </w:rPr>
      </w:pPr>
      <w:r>
        <w:rPr>
          <w:rFonts w:ascii="Arial" w:eastAsia="Arial" w:hAnsi="Arial" w:cs="Arial"/>
          <w:b/>
          <w:sz w:val="26"/>
          <w:szCs w:val="26"/>
        </w:rPr>
        <w:t xml:space="preserve">REGLAMENTO DE ARBITRAJE </w:t>
      </w:r>
    </w:p>
    <w:p w14:paraId="044E3E4F" w14:textId="77777777" w:rsidR="009F0327" w:rsidRDefault="00C07ED9">
      <w:pPr>
        <w:pBdr>
          <w:top w:val="nil"/>
          <w:left w:val="nil"/>
          <w:bottom w:val="nil"/>
          <w:right w:val="nil"/>
          <w:between w:val="nil"/>
        </w:pBdr>
        <w:jc w:val="center"/>
        <w:rPr>
          <w:rFonts w:ascii="Arial" w:eastAsia="Arial" w:hAnsi="Arial" w:cs="Arial"/>
          <w:b/>
          <w:sz w:val="26"/>
          <w:szCs w:val="26"/>
        </w:rPr>
      </w:pPr>
      <w:r>
        <w:rPr>
          <w:rFonts w:ascii="Arial" w:eastAsia="Arial" w:hAnsi="Arial" w:cs="Arial"/>
          <w:b/>
          <w:sz w:val="26"/>
          <w:szCs w:val="26"/>
        </w:rPr>
        <w:t>DE EMERGENCIA CENTRO DE ARBITRAJE, PERITAJE Y JUNTA DE RESOLUCIÓN DE DISPUTAS DEL CIP - UCAYALI</w:t>
      </w:r>
    </w:p>
    <w:p w14:paraId="48B9145F" w14:textId="77777777" w:rsidR="009F0327" w:rsidRDefault="009F0327">
      <w:pPr>
        <w:jc w:val="both"/>
        <w:rPr>
          <w:rFonts w:ascii="Arial" w:eastAsia="Arial" w:hAnsi="Arial" w:cs="Arial"/>
        </w:rPr>
      </w:pPr>
    </w:p>
    <w:p w14:paraId="7F4F58C6" w14:textId="77777777" w:rsidR="009F0327" w:rsidRDefault="009F0327">
      <w:pPr>
        <w:jc w:val="both"/>
        <w:rPr>
          <w:rFonts w:ascii="Arial" w:eastAsia="Arial" w:hAnsi="Arial" w:cs="Arial"/>
        </w:rPr>
      </w:pPr>
    </w:p>
    <w:tbl>
      <w:tblPr>
        <w:tblStyle w:val="a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4810"/>
      </w:tblGrid>
      <w:tr w:rsidR="009F0327" w14:paraId="564193E1" w14:textId="77777777">
        <w:tc>
          <w:tcPr>
            <w:tcW w:w="4824" w:type="dxa"/>
            <w:vAlign w:val="center"/>
          </w:tcPr>
          <w:p w14:paraId="220DA316" w14:textId="77777777" w:rsidR="009F0327" w:rsidRDefault="009F0327">
            <w:pPr>
              <w:jc w:val="both"/>
              <w:rPr>
                <w:rFonts w:ascii="Arial" w:eastAsia="Arial" w:hAnsi="Arial" w:cs="Arial"/>
                <w:b/>
              </w:rPr>
            </w:pPr>
          </w:p>
          <w:p w14:paraId="00363FEA" w14:textId="77777777" w:rsidR="009F0327" w:rsidRDefault="00C07ED9">
            <w:pPr>
              <w:jc w:val="both"/>
              <w:rPr>
                <w:rFonts w:ascii="Arial" w:eastAsia="Arial" w:hAnsi="Arial" w:cs="Arial"/>
                <w:b/>
              </w:rPr>
            </w:pPr>
            <w:r>
              <w:rPr>
                <w:rFonts w:ascii="Arial" w:eastAsia="Arial" w:hAnsi="Arial" w:cs="Arial"/>
                <w:b/>
              </w:rPr>
              <w:t>INSTRUMENTO DE APROBACIÓN</w:t>
            </w:r>
          </w:p>
          <w:p w14:paraId="3C3E9AF9" w14:textId="77777777" w:rsidR="009F0327" w:rsidRDefault="009F0327">
            <w:pPr>
              <w:jc w:val="both"/>
              <w:rPr>
                <w:rFonts w:ascii="Arial" w:eastAsia="Arial" w:hAnsi="Arial" w:cs="Arial"/>
                <w:b/>
              </w:rPr>
            </w:pPr>
          </w:p>
        </w:tc>
        <w:tc>
          <w:tcPr>
            <w:tcW w:w="4810" w:type="dxa"/>
            <w:vAlign w:val="center"/>
          </w:tcPr>
          <w:p w14:paraId="48CC0751" w14:textId="23188322" w:rsidR="009F0327" w:rsidRDefault="00C07ED9">
            <w:pPr>
              <w:jc w:val="center"/>
              <w:rPr>
                <w:rFonts w:ascii="Arial" w:eastAsia="Arial" w:hAnsi="Arial" w:cs="Arial"/>
              </w:rPr>
            </w:pPr>
            <w:r>
              <w:rPr>
                <w:rFonts w:ascii="Arial" w:eastAsia="Arial" w:hAnsi="Arial" w:cs="Arial"/>
              </w:rPr>
              <w:t xml:space="preserve">Acta de </w:t>
            </w:r>
            <w:r w:rsidR="0043237B">
              <w:rPr>
                <w:rFonts w:ascii="Arial" w:eastAsia="Arial" w:hAnsi="Arial" w:cs="Arial"/>
              </w:rPr>
              <w:t>Sesión Extraordinaria N° 004-2025- CS/CAPEJU</w:t>
            </w:r>
            <w:r>
              <w:rPr>
                <w:rFonts w:ascii="Arial" w:eastAsia="Arial" w:hAnsi="Arial" w:cs="Arial"/>
              </w:rPr>
              <w:t xml:space="preserve"> </w:t>
            </w:r>
          </w:p>
        </w:tc>
      </w:tr>
      <w:tr w:rsidR="009F0327" w14:paraId="103B8E76" w14:textId="77777777">
        <w:tc>
          <w:tcPr>
            <w:tcW w:w="4824" w:type="dxa"/>
            <w:vAlign w:val="center"/>
          </w:tcPr>
          <w:p w14:paraId="2CD2F655" w14:textId="77777777" w:rsidR="009F0327" w:rsidRDefault="009F0327">
            <w:pPr>
              <w:jc w:val="both"/>
              <w:rPr>
                <w:rFonts w:ascii="Arial" w:eastAsia="Arial" w:hAnsi="Arial" w:cs="Arial"/>
                <w:b/>
              </w:rPr>
            </w:pPr>
          </w:p>
          <w:p w14:paraId="3440DB51" w14:textId="77777777" w:rsidR="009F0327" w:rsidRDefault="00C07ED9">
            <w:pPr>
              <w:jc w:val="both"/>
              <w:rPr>
                <w:rFonts w:ascii="Arial" w:eastAsia="Arial" w:hAnsi="Arial" w:cs="Arial"/>
                <w:b/>
              </w:rPr>
            </w:pPr>
            <w:r>
              <w:rPr>
                <w:rFonts w:ascii="Arial" w:eastAsia="Arial" w:hAnsi="Arial" w:cs="Arial"/>
                <w:b/>
              </w:rPr>
              <w:t>FECHA DE APROBACIÓN</w:t>
            </w:r>
          </w:p>
          <w:p w14:paraId="372A945C" w14:textId="77777777" w:rsidR="009F0327" w:rsidRDefault="009F0327">
            <w:pPr>
              <w:jc w:val="both"/>
              <w:rPr>
                <w:rFonts w:ascii="Arial" w:eastAsia="Arial" w:hAnsi="Arial" w:cs="Arial"/>
                <w:b/>
              </w:rPr>
            </w:pPr>
          </w:p>
        </w:tc>
        <w:tc>
          <w:tcPr>
            <w:tcW w:w="4810" w:type="dxa"/>
            <w:vAlign w:val="center"/>
          </w:tcPr>
          <w:p w14:paraId="778A5068" w14:textId="7B1D9163" w:rsidR="009F0327" w:rsidRDefault="0043237B">
            <w:pPr>
              <w:jc w:val="both"/>
              <w:rPr>
                <w:rFonts w:ascii="Arial" w:eastAsia="Arial" w:hAnsi="Arial" w:cs="Arial"/>
                <w:b/>
                <w:color w:val="283583"/>
              </w:rPr>
            </w:pPr>
            <w:r>
              <w:rPr>
                <w:rFonts w:ascii="Arial" w:eastAsia="Arial" w:hAnsi="Arial" w:cs="Arial"/>
              </w:rPr>
              <w:t>24/11/2025</w:t>
            </w:r>
          </w:p>
        </w:tc>
      </w:tr>
      <w:tr w:rsidR="009F0327" w14:paraId="38F4760D" w14:textId="77777777">
        <w:tc>
          <w:tcPr>
            <w:tcW w:w="4824" w:type="dxa"/>
            <w:vAlign w:val="center"/>
          </w:tcPr>
          <w:p w14:paraId="57D4EEE7" w14:textId="77777777" w:rsidR="009F0327" w:rsidRDefault="009F0327">
            <w:pPr>
              <w:jc w:val="both"/>
              <w:rPr>
                <w:rFonts w:ascii="Arial" w:eastAsia="Arial" w:hAnsi="Arial" w:cs="Arial"/>
                <w:b/>
              </w:rPr>
            </w:pPr>
          </w:p>
          <w:p w14:paraId="1EDDE9F0" w14:textId="77777777" w:rsidR="009F0327" w:rsidRDefault="00C07ED9">
            <w:pPr>
              <w:jc w:val="both"/>
              <w:rPr>
                <w:rFonts w:ascii="Arial" w:eastAsia="Arial" w:hAnsi="Arial" w:cs="Arial"/>
                <w:b/>
              </w:rPr>
            </w:pPr>
            <w:r>
              <w:rPr>
                <w:rFonts w:ascii="Arial" w:eastAsia="Arial" w:hAnsi="Arial" w:cs="Arial"/>
                <w:b/>
              </w:rPr>
              <w:t>MEDIO DE PUBLICACIÓN</w:t>
            </w:r>
          </w:p>
          <w:p w14:paraId="426463BF" w14:textId="77777777" w:rsidR="009F0327" w:rsidRDefault="009F0327">
            <w:pPr>
              <w:jc w:val="both"/>
              <w:rPr>
                <w:rFonts w:ascii="Arial" w:eastAsia="Arial" w:hAnsi="Arial" w:cs="Arial"/>
                <w:b/>
              </w:rPr>
            </w:pPr>
          </w:p>
        </w:tc>
        <w:tc>
          <w:tcPr>
            <w:tcW w:w="4810" w:type="dxa"/>
            <w:vAlign w:val="center"/>
          </w:tcPr>
          <w:p w14:paraId="20535BC6" w14:textId="012CD0D5" w:rsidR="009F0327" w:rsidRDefault="0043237B">
            <w:pPr>
              <w:jc w:val="both"/>
              <w:rPr>
                <w:rFonts w:ascii="Arial" w:eastAsia="Arial" w:hAnsi="Arial" w:cs="Arial"/>
              </w:rPr>
            </w:pPr>
            <w:r>
              <w:rPr>
                <w:rFonts w:ascii="Arial" w:eastAsia="Arial" w:hAnsi="Arial" w:cs="Arial"/>
              </w:rPr>
              <w:t>Página Web</w:t>
            </w:r>
          </w:p>
        </w:tc>
      </w:tr>
      <w:tr w:rsidR="009F0327" w14:paraId="642933BE" w14:textId="77777777">
        <w:tc>
          <w:tcPr>
            <w:tcW w:w="4824" w:type="dxa"/>
            <w:vAlign w:val="center"/>
          </w:tcPr>
          <w:p w14:paraId="15619044" w14:textId="77777777" w:rsidR="009F0327" w:rsidRDefault="009F0327">
            <w:pPr>
              <w:jc w:val="both"/>
              <w:rPr>
                <w:rFonts w:ascii="Arial" w:eastAsia="Arial" w:hAnsi="Arial" w:cs="Arial"/>
                <w:b/>
              </w:rPr>
            </w:pPr>
          </w:p>
          <w:p w14:paraId="5AE83560" w14:textId="77777777" w:rsidR="009F0327" w:rsidRDefault="00C07ED9">
            <w:pPr>
              <w:jc w:val="both"/>
              <w:rPr>
                <w:rFonts w:ascii="Arial" w:eastAsia="Arial" w:hAnsi="Arial" w:cs="Arial"/>
                <w:b/>
              </w:rPr>
            </w:pPr>
            <w:r>
              <w:rPr>
                <w:rFonts w:ascii="Arial" w:eastAsia="Arial" w:hAnsi="Arial" w:cs="Arial"/>
                <w:b/>
              </w:rPr>
              <w:t>INICIO DE VIGENCIA</w:t>
            </w:r>
          </w:p>
          <w:p w14:paraId="19549851" w14:textId="77777777" w:rsidR="009F0327" w:rsidRDefault="009F0327">
            <w:pPr>
              <w:jc w:val="both"/>
              <w:rPr>
                <w:rFonts w:ascii="Arial" w:eastAsia="Arial" w:hAnsi="Arial" w:cs="Arial"/>
                <w:b/>
              </w:rPr>
            </w:pPr>
          </w:p>
        </w:tc>
        <w:tc>
          <w:tcPr>
            <w:tcW w:w="4810" w:type="dxa"/>
            <w:vAlign w:val="center"/>
          </w:tcPr>
          <w:p w14:paraId="5D64193D" w14:textId="4AE17163" w:rsidR="009F0327" w:rsidRDefault="0043237B">
            <w:pPr>
              <w:jc w:val="both"/>
              <w:rPr>
                <w:rFonts w:ascii="Arial" w:eastAsia="Arial" w:hAnsi="Arial" w:cs="Arial"/>
                <w:b/>
                <w:color w:val="283583"/>
              </w:rPr>
            </w:pPr>
            <w:r>
              <w:rPr>
                <w:rFonts w:ascii="Arial" w:eastAsia="Arial" w:hAnsi="Arial" w:cs="Arial"/>
              </w:rPr>
              <w:t>2</w:t>
            </w:r>
            <w:r>
              <w:rPr>
                <w:rFonts w:ascii="Arial" w:eastAsia="Arial" w:hAnsi="Arial" w:cs="Arial"/>
              </w:rPr>
              <w:t>5</w:t>
            </w:r>
            <w:r>
              <w:rPr>
                <w:rFonts w:ascii="Arial" w:eastAsia="Arial" w:hAnsi="Arial" w:cs="Arial"/>
              </w:rPr>
              <w:t>/11/2025</w:t>
            </w:r>
          </w:p>
        </w:tc>
      </w:tr>
    </w:tbl>
    <w:p w14:paraId="1BB2E029" w14:textId="77777777" w:rsidR="009F0327" w:rsidRDefault="009F0327">
      <w:pPr>
        <w:jc w:val="both"/>
        <w:rPr>
          <w:rFonts w:ascii="Arial" w:eastAsia="Arial" w:hAnsi="Arial" w:cs="Arial"/>
          <w:b/>
          <w:color w:val="283583"/>
        </w:rPr>
        <w:sectPr w:rsidR="009F0327">
          <w:headerReference w:type="default" r:id="rId9"/>
          <w:footerReference w:type="default" r:id="rId10"/>
          <w:pgSz w:w="11910" w:h="16850"/>
          <w:pgMar w:top="1180" w:right="1133" w:bottom="840" w:left="1133" w:header="766" w:footer="657" w:gutter="0"/>
          <w:pgNumType w:start="2"/>
          <w:cols w:space="720"/>
        </w:sectPr>
      </w:pPr>
    </w:p>
    <w:p w14:paraId="384E3A18" w14:textId="77777777" w:rsidR="009F0327" w:rsidRDefault="00C07ED9">
      <w:pPr>
        <w:pStyle w:val="Ttulo2"/>
        <w:spacing w:before="0"/>
        <w:ind w:left="0"/>
        <w:jc w:val="both"/>
        <w:rPr>
          <w:rFonts w:ascii="Arial" w:eastAsia="Arial" w:hAnsi="Arial" w:cs="Arial"/>
          <w:sz w:val="24"/>
          <w:szCs w:val="24"/>
        </w:rPr>
      </w:pPr>
      <w:r>
        <w:rPr>
          <w:rFonts w:ascii="Arial" w:eastAsia="Arial" w:hAnsi="Arial" w:cs="Arial"/>
          <w:color w:val="916F41"/>
          <w:sz w:val="24"/>
          <w:szCs w:val="24"/>
        </w:rPr>
        <w:lastRenderedPageBreak/>
        <w:t xml:space="preserve">ARTÍCULO 1°. - </w:t>
      </w:r>
      <w:r>
        <w:rPr>
          <w:rFonts w:ascii="Arial" w:eastAsia="Arial" w:hAnsi="Arial" w:cs="Arial"/>
          <w:sz w:val="24"/>
          <w:szCs w:val="24"/>
        </w:rPr>
        <w:t>ÁRBITRO DE EMERGENCIA</w:t>
      </w:r>
    </w:p>
    <w:p w14:paraId="2C178336" w14:textId="77777777" w:rsidR="009F0327" w:rsidRDefault="00C07ED9">
      <w:pPr>
        <w:numPr>
          <w:ilvl w:val="0"/>
          <w:numId w:val="1"/>
        </w:numPr>
        <w:pBdr>
          <w:top w:val="nil"/>
          <w:left w:val="nil"/>
          <w:bottom w:val="nil"/>
          <w:right w:val="nil"/>
          <w:between w:val="nil"/>
        </w:pBdr>
        <w:tabs>
          <w:tab w:val="left" w:pos="378"/>
        </w:tabs>
        <w:spacing w:before="235" w:line="273" w:lineRule="auto"/>
        <w:ind w:left="426" w:right="44"/>
        <w:jc w:val="both"/>
        <w:rPr>
          <w:rFonts w:ascii="Arial" w:eastAsia="Arial" w:hAnsi="Arial" w:cs="Arial"/>
          <w:color w:val="000000"/>
        </w:rPr>
      </w:pPr>
      <w:r>
        <w:rPr>
          <w:rFonts w:ascii="Arial" w:eastAsia="Arial" w:hAnsi="Arial" w:cs="Arial"/>
          <w:color w:val="000000"/>
        </w:rPr>
        <w:t>Las partes podrán recurrir a un arbitraje de emergencia por su solo sometimiento al arbitraje institucional administrado y organizado por el Centro; o cuando el convenio arbitral no prohíba expresamente el arbitraje de emergencia.</w:t>
      </w:r>
    </w:p>
    <w:p w14:paraId="1D1175F4" w14:textId="77777777" w:rsidR="009F0327" w:rsidRDefault="00C07ED9">
      <w:pPr>
        <w:numPr>
          <w:ilvl w:val="0"/>
          <w:numId w:val="1"/>
        </w:numPr>
        <w:pBdr>
          <w:top w:val="nil"/>
          <w:left w:val="nil"/>
          <w:bottom w:val="nil"/>
          <w:right w:val="nil"/>
          <w:between w:val="nil"/>
        </w:pBdr>
        <w:tabs>
          <w:tab w:val="left" w:pos="378"/>
        </w:tabs>
        <w:spacing w:before="235" w:line="273" w:lineRule="auto"/>
        <w:ind w:left="426" w:right="44"/>
        <w:jc w:val="both"/>
        <w:rPr>
          <w:rFonts w:ascii="Arial" w:eastAsia="Arial" w:hAnsi="Arial" w:cs="Arial"/>
          <w:color w:val="000000"/>
        </w:rPr>
      </w:pPr>
      <w:r>
        <w:rPr>
          <w:rFonts w:ascii="Arial" w:eastAsia="Arial" w:hAnsi="Arial" w:cs="Arial"/>
          <w:color w:val="000000"/>
        </w:rPr>
        <w:t>Cualquiera de las partes que se encuentre en situación de urgencia podrá solicitar el nombramiento de un Árbitro de Emergencia para que dicte las medidas correspondientes, de conformidad a lo dispuesto en la presente normativa</w:t>
      </w:r>
    </w:p>
    <w:p w14:paraId="41E6C21F" w14:textId="77777777" w:rsidR="009F0327" w:rsidRDefault="00C07ED9">
      <w:pPr>
        <w:numPr>
          <w:ilvl w:val="0"/>
          <w:numId w:val="1"/>
        </w:numPr>
        <w:pBdr>
          <w:top w:val="nil"/>
          <w:left w:val="nil"/>
          <w:bottom w:val="nil"/>
          <w:right w:val="nil"/>
          <w:between w:val="nil"/>
        </w:pBdr>
        <w:tabs>
          <w:tab w:val="left" w:pos="378"/>
        </w:tabs>
        <w:spacing w:before="235" w:line="273" w:lineRule="auto"/>
        <w:ind w:left="426" w:right="44"/>
        <w:jc w:val="both"/>
        <w:rPr>
          <w:rFonts w:ascii="Arial" w:eastAsia="Arial" w:hAnsi="Arial" w:cs="Arial"/>
          <w:color w:val="000000"/>
        </w:rPr>
      </w:pPr>
      <w:r>
        <w:rPr>
          <w:rFonts w:ascii="Arial" w:eastAsia="Arial" w:hAnsi="Arial" w:cs="Arial"/>
          <w:color w:val="000000"/>
        </w:rPr>
        <w:t>Se entiende como urgencia, aquella situación que no pueda esperar hasta la constitución del Tribunal Arbitral.</w:t>
      </w:r>
    </w:p>
    <w:p w14:paraId="4CB1E6BE" w14:textId="77777777" w:rsidR="009F0327" w:rsidRDefault="00C07ED9">
      <w:pPr>
        <w:numPr>
          <w:ilvl w:val="0"/>
          <w:numId w:val="1"/>
        </w:numPr>
        <w:pBdr>
          <w:top w:val="nil"/>
          <w:left w:val="nil"/>
          <w:bottom w:val="nil"/>
          <w:right w:val="nil"/>
          <w:between w:val="nil"/>
        </w:pBdr>
        <w:tabs>
          <w:tab w:val="left" w:pos="378"/>
        </w:tabs>
        <w:spacing w:before="235" w:line="273" w:lineRule="auto"/>
        <w:ind w:left="426" w:right="44"/>
        <w:jc w:val="both"/>
        <w:rPr>
          <w:rFonts w:ascii="Arial" w:eastAsia="Arial" w:hAnsi="Arial" w:cs="Arial"/>
          <w:color w:val="000000"/>
        </w:rPr>
      </w:pPr>
      <w:r>
        <w:rPr>
          <w:rFonts w:ascii="Arial" w:eastAsia="Arial" w:hAnsi="Arial" w:cs="Arial"/>
          <w:color w:val="000000"/>
        </w:rPr>
        <w:t>El Árbitro de Emergencia será competente hasta producida la constitución del Tribunal Arbitral.</w:t>
      </w:r>
    </w:p>
    <w:p w14:paraId="5FEDEBCD" w14:textId="77777777" w:rsidR="009F0327" w:rsidRDefault="00C07ED9">
      <w:pPr>
        <w:numPr>
          <w:ilvl w:val="0"/>
          <w:numId w:val="1"/>
        </w:numPr>
        <w:pBdr>
          <w:top w:val="nil"/>
          <w:left w:val="nil"/>
          <w:bottom w:val="nil"/>
          <w:right w:val="nil"/>
          <w:between w:val="nil"/>
        </w:pBdr>
        <w:tabs>
          <w:tab w:val="left" w:pos="378"/>
        </w:tabs>
        <w:spacing w:before="235" w:line="273" w:lineRule="auto"/>
        <w:ind w:left="426" w:right="44"/>
        <w:jc w:val="both"/>
        <w:rPr>
          <w:rFonts w:ascii="Arial" w:eastAsia="Arial" w:hAnsi="Arial" w:cs="Arial"/>
          <w:color w:val="000000"/>
        </w:rPr>
      </w:pPr>
      <w:r>
        <w:rPr>
          <w:rFonts w:ascii="Arial" w:eastAsia="Arial" w:hAnsi="Arial" w:cs="Arial"/>
          <w:color w:val="000000"/>
        </w:rPr>
        <w:t>La Solicitud de Árbitro de Emergencia puede presentarse antes, después o conjuntamente con la solicitud de arbitraje.</w:t>
      </w:r>
    </w:p>
    <w:p w14:paraId="457BFD13" w14:textId="77777777" w:rsidR="009F0327" w:rsidRDefault="009F0327">
      <w:pPr>
        <w:pBdr>
          <w:top w:val="nil"/>
          <w:left w:val="nil"/>
          <w:bottom w:val="nil"/>
          <w:right w:val="nil"/>
          <w:between w:val="nil"/>
        </w:pBdr>
        <w:spacing w:before="46"/>
        <w:jc w:val="both"/>
        <w:rPr>
          <w:rFonts w:ascii="Arial" w:eastAsia="Arial" w:hAnsi="Arial" w:cs="Arial"/>
          <w:color w:val="000000"/>
        </w:rPr>
      </w:pPr>
    </w:p>
    <w:p w14:paraId="40A8A76E" w14:textId="77777777" w:rsidR="009F0327" w:rsidRDefault="00C07ED9">
      <w:pPr>
        <w:pStyle w:val="Ttulo2"/>
        <w:spacing w:before="0"/>
        <w:ind w:left="0"/>
        <w:jc w:val="both"/>
        <w:rPr>
          <w:rFonts w:ascii="Arial" w:eastAsia="Arial" w:hAnsi="Arial" w:cs="Arial"/>
          <w:sz w:val="24"/>
          <w:szCs w:val="24"/>
        </w:rPr>
      </w:pPr>
      <w:r>
        <w:rPr>
          <w:rFonts w:ascii="Arial" w:eastAsia="Arial" w:hAnsi="Arial" w:cs="Arial"/>
          <w:color w:val="916F41"/>
          <w:sz w:val="24"/>
          <w:szCs w:val="24"/>
        </w:rPr>
        <w:t xml:space="preserve">ARTÍCULO 2°. - </w:t>
      </w:r>
      <w:r>
        <w:rPr>
          <w:rFonts w:ascii="Arial" w:eastAsia="Arial" w:hAnsi="Arial" w:cs="Arial"/>
          <w:sz w:val="24"/>
          <w:szCs w:val="24"/>
        </w:rPr>
        <w:t>MEDIDAS DE EMERGENCIA</w:t>
      </w:r>
    </w:p>
    <w:p w14:paraId="212C0586" w14:textId="77777777" w:rsidR="009F0327" w:rsidRDefault="00C07ED9">
      <w:pPr>
        <w:pBdr>
          <w:top w:val="nil"/>
          <w:left w:val="nil"/>
          <w:bottom w:val="nil"/>
          <w:right w:val="nil"/>
          <w:between w:val="nil"/>
        </w:pBdr>
        <w:spacing w:before="235" w:line="273" w:lineRule="auto"/>
        <w:ind w:right="44"/>
        <w:jc w:val="both"/>
        <w:rPr>
          <w:rFonts w:ascii="Arial" w:eastAsia="Arial" w:hAnsi="Arial" w:cs="Arial"/>
          <w:color w:val="000000"/>
        </w:rPr>
      </w:pPr>
      <w:r>
        <w:rPr>
          <w:rFonts w:ascii="Arial" w:eastAsia="Arial" w:hAnsi="Arial" w:cs="Arial"/>
          <w:color w:val="000000"/>
        </w:rPr>
        <w:t>El Árbitro de Emergencia dictará la Disposición a la que se refiere el artículo 8° con sujeción a las condiciones que considere necesarias, incluyendo el otorgamiento de garantías apropiadas, según corresponda al trámite en concreto. Es de precisar que, en caso sea necesaria la presentación de garantía esta será solicitada al recurrente por la Secretaría Arbitral, una vez dictada la medida cautelar de emergencia, a efectos que pueda presentarla en un plazo no mayor a diez (10) días hábiles de notificada la medida cautelar a su contraparte, bajo apercibimiento de archivar el arbitraje de emergencia y dar por concluidas las actuaciones y sus efectos.</w:t>
      </w:r>
    </w:p>
    <w:p w14:paraId="30DCA200" w14:textId="77777777" w:rsidR="009F0327" w:rsidRDefault="009F0327">
      <w:pPr>
        <w:pBdr>
          <w:top w:val="nil"/>
          <w:left w:val="nil"/>
          <w:bottom w:val="nil"/>
          <w:right w:val="nil"/>
          <w:between w:val="nil"/>
        </w:pBdr>
        <w:spacing w:before="20"/>
        <w:jc w:val="both"/>
        <w:rPr>
          <w:rFonts w:ascii="Arial" w:eastAsia="Arial" w:hAnsi="Arial" w:cs="Arial"/>
          <w:color w:val="000000"/>
        </w:rPr>
      </w:pPr>
    </w:p>
    <w:p w14:paraId="1B3F95F2" w14:textId="77777777" w:rsidR="009F0327" w:rsidRDefault="00C07ED9">
      <w:pPr>
        <w:pStyle w:val="Ttulo2"/>
        <w:spacing w:before="0"/>
        <w:ind w:left="0"/>
        <w:jc w:val="both"/>
        <w:rPr>
          <w:rFonts w:ascii="Arial" w:eastAsia="Arial" w:hAnsi="Arial" w:cs="Arial"/>
          <w:sz w:val="24"/>
          <w:szCs w:val="24"/>
        </w:rPr>
      </w:pPr>
      <w:r>
        <w:rPr>
          <w:rFonts w:ascii="Arial" w:eastAsia="Arial" w:hAnsi="Arial" w:cs="Arial"/>
          <w:color w:val="916F41"/>
          <w:sz w:val="24"/>
          <w:szCs w:val="24"/>
        </w:rPr>
        <w:t>ARTÍCULO 3.-</w:t>
      </w:r>
      <w:r>
        <w:rPr>
          <w:rFonts w:ascii="Arial" w:eastAsia="Arial" w:hAnsi="Arial" w:cs="Arial"/>
          <w:sz w:val="24"/>
          <w:szCs w:val="24"/>
        </w:rPr>
        <w:t xml:space="preserve"> SOLICITUD</w:t>
      </w:r>
    </w:p>
    <w:p w14:paraId="71682460" w14:textId="77777777" w:rsidR="009F0327" w:rsidRDefault="00C07ED9">
      <w:pPr>
        <w:numPr>
          <w:ilvl w:val="0"/>
          <w:numId w:val="2"/>
        </w:numPr>
        <w:pBdr>
          <w:top w:val="nil"/>
          <w:left w:val="nil"/>
          <w:bottom w:val="nil"/>
          <w:right w:val="nil"/>
          <w:between w:val="nil"/>
        </w:pBdr>
        <w:tabs>
          <w:tab w:val="left" w:pos="142"/>
        </w:tabs>
        <w:spacing w:before="236"/>
        <w:ind w:left="284" w:right="44" w:hanging="284"/>
        <w:jc w:val="both"/>
        <w:rPr>
          <w:rFonts w:ascii="Arial" w:eastAsia="Arial" w:hAnsi="Arial" w:cs="Arial"/>
          <w:color w:val="000000"/>
        </w:rPr>
      </w:pPr>
      <w:r>
        <w:rPr>
          <w:rFonts w:ascii="Arial" w:eastAsia="Arial" w:hAnsi="Arial" w:cs="Arial"/>
          <w:color w:val="000000"/>
        </w:rPr>
        <w:t>La Solicitud deberá cumplir con los siguientes requisitos:</w:t>
      </w:r>
    </w:p>
    <w:p w14:paraId="4348714F" w14:textId="77777777" w:rsidR="009F0327" w:rsidRDefault="00C07ED9">
      <w:pPr>
        <w:numPr>
          <w:ilvl w:val="0"/>
          <w:numId w:val="3"/>
        </w:numPr>
        <w:pBdr>
          <w:top w:val="nil"/>
          <w:left w:val="nil"/>
          <w:bottom w:val="nil"/>
          <w:right w:val="nil"/>
          <w:between w:val="nil"/>
        </w:pBdr>
        <w:tabs>
          <w:tab w:val="left" w:pos="142"/>
        </w:tabs>
        <w:spacing w:before="251"/>
        <w:ind w:left="284" w:hanging="284"/>
        <w:jc w:val="both"/>
        <w:rPr>
          <w:rFonts w:ascii="Arial" w:eastAsia="Arial" w:hAnsi="Arial" w:cs="Arial"/>
          <w:color w:val="000000"/>
        </w:rPr>
      </w:pPr>
      <w:r>
        <w:rPr>
          <w:rFonts w:ascii="Arial" w:eastAsia="Arial" w:hAnsi="Arial" w:cs="Arial"/>
          <w:color w:val="000000"/>
        </w:rPr>
        <w:t>Aquellos consignados en el artículo 14°, literales a), b), d) y e) del Reglamento de Arbitraje del Centro.</w:t>
      </w:r>
    </w:p>
    <w:p w14:paraId="3A67B5BD" w14:textId="64D9B343" w:rsidR="009F0327" w:rsidRDefault="00C07ED9" w:rsidP="002F5BF7">
      <w:pPr>
        <w:numPr>
          <w:ilvl w:val="0"/>
          <w:numId w:val="3"/>
        </w:numPr>
        <w:pBdr>
          <w:top w:val="nil"/>
          <w:left w:val="nil"/>
          <w:bottom w:val="nil"/>
          <w:right w:val="nil"/>
          <w:between w:val="nil"/>
        </w:pBdr>
        <w:tabs>
          <w:tab w:val="left" w:pos="142"/>
        </w:tabs>
        <w:spacing w:before="251"/>
        <w:ind w:left="284" w:hanging="284"/>
        <w:jc w:val="both"/>
        <w:rPr>
          <w:rFonts w:ascii="Arial" w:eastAsia="Arial" w:hAnsi="Arial" w:cs="Arial"/>
          <w:color w:val="000000"/>
        </w:rPr>
      </w:pPr>
      <w:r>
        <w:rPr>
          <w:rFonts w:ascii="Arial" w:eastAsia="Arial" w:hAnsi="Arial" w:cs="Arial"/>
          <w:color w:val="000000"/>
        </w:rPr>
        <w:t>Precisar las Medidas de Emergencia solicitadas y explicar las razones por las cuales el solicitante requiere que se emitan aquellas con carácter de urgencia.</w:t>
      </w:r>
    </w:p>
    <w:p w14:paraId="0EBEF273" w14:textId="77777777" w:rsidR="002F5BF7" w:rsidRPr="002F5BF7" w:rsidRDefault="002F5BF7" w:rsidP="002F5BF7">
      <w:pPr>
        <w:pBdr>
          <w:top w:val="nil"/>
          <w:left w:val="nil"/>
          <w:bottom w:val="nil"/>
          <w:right w:val="nil"/>
          <w:between w:val="nil"/>
        </w:pBdr>
        <w:tabs>
          <w:tab w:val="left" w:pos="142"/>
        </w:tabs>
        <w:spacing w:before="251"/>
        <w:ind w:left="284"/>
        <w:jc w:val="both"/>
        <w:rPr>
          <w:rFonts w:ascii="Arial" w:eastAsia="Arial" w:hAnsi="Arial" w:cs="Arial"/>
          <w:color w:val="000000"/>
          <w:sz w:val="4"/>
          <w:szCs w:val="4"/>
        </w:rPr>
      </w:pPr>
    </w:p>
    <w:p w14:paraId="37B3E329" w14:textId="77777777" w:rsidR="009F0327" w:rsidRDefault="00C07ED9">
      <w:pPr>
        <w:numPr>
          <w:ilvl w:val="0"/>
          <w:numId w:val="3"/>
        </w:numPr>
        <w:pBdr>
          <w:top w:val="nil"/>
          <w:left w:val="nil"/>
          <w:bottom w:val="nil"/>
          <w:right w:val="nil"/>
          <w:between w:val="nil"/>
        </w:pBdr>
        <w:tabs>
          <w:tab w:val="left" w:pos="142"/>
        </w:tabs>
        <w:ind w:left="284" w:hanging="284"/>
        <w:jc w:val="both"/>
        <w:rPr>
          <w:rFonts w:ascii="Arial" w:eastAsia="Arial" w:hAnsi="Arial" w:cs="Arial"/>
          <w:color w:val="000000"/>
        </w:rPr>
      </w:pPr>
      <w:r>
        <w:rPr>
          <w:rFonts w:ascii="Arial" w:eastAsia="Arial" w:hAnsi="Arial" w:cs="Arial"/>
          <w:color w:val="000000"/>
        </w:rPr>
        <w:t>Informar cualquier solicitud de arbitraje y cualquier otro escrito en relación con la disputa subyacente, que haya sido presentado al Centro por cualquiera de las partes, anteriormente a la presentación de esta solicitud.</w:t>
      </w:r>
    </w:p>
    <w:p w14:paraId="0B1E6B06" w14:textId="77777777" w:rsidR="009F0327" w:rsidRDefault="009F0327">
      <w:pPr>
        <w:pBdr>
          <w:top w:val="nil"/>
          <w:left w:val="nil"/>
          <w:bottom w:val="nil"/>
          <w:right w:val="nil"/>
          <w:between w:val="nil"/>
        </w:pBdr>
        <w:tabs>
          <w:tab w:val="left" w:pos="142"/>
        </w:tabs>
        <w:ind w:left="284" w:hanging="284"/>
        <w:jc w:val="both"/>
        <w:rPr>
          <w:rFonts w:ascii="Arial" w:eastAsia="Arial" w:hAnsi="Arial" w:cs="Arial"/>
          <w:color w:val="000000"/>
        </w:rPr>
      </w:pPr>
    </w:p>
    <w:p w14:paraId="28FC7177" w14:textId="77777777" w:rsidR="009F0327" w:rsidRDefault="00C07ED9">
      <w:pPr>
        <w:numPr>
          <w:ilvl w:val="0"/>
          <w:numId w:val="3"/>
        </w:numPr>
        <w:pBdr>
          <w:top w:val="nil"/>
          <w:left w:val="nil"/>
          <w:bottom w:val="nil"/>
          <w:right w:val="nil"/>
          <w:between w:val="nil"/>
        </w:pBdr>
        <w:tabs>
          <w:tab w:val="left" w:pos="142"/>
        </w:tabs>
        <w:ind w:left="284" w:hanging="284"/>
        <w:jc w:val="both"/>
        <w:rPr>
          <w:rFonts w:ascii="Arial" w:eastAsia="Arial" w:hAnsi="Arial" w:cs="Arial"/>
          <w:color w:val="000000"/>
        </w:rPr>
      </w:pPr>
      <w:r>
        <w:rPr>
          <w:rFonts w:ascii="Arial" w:eastAsia="Arial" w:hAnsi="Arial" w:cs="Arial"/>
          <w:color w:val="000000"/>
        </w:rPr>
        <w:t>Cualquier acuerdo sobre la sede del arbitraje o las normas jurídicas aplicables.</w:t>
      </w:r>
    </w:p>
    <w:p w14:paraId="7799A31E" w14:textId="77777777" w:rsidR="009F0327" w:rsidRDefault="009F0327">
      <w:pPr>
        <w:pBdr>
          <w:top w:val="nil"/>
          <w:left w:val="nil"/>
          <w:bottom w:val="nil"/>
          <w:right w:val="nil"/>
          <w:between w:val="nil"/>
        </w:pBdr>
        <w:tabs>
          <w:tab w:val="left" w:pos="142"/>
        </w:tabs>
        <w:ind w:left="284" w:hanging="284"/>
        <w:jc w:val="both"/>
        <w:rPr>
          <w:rFonts w:ascii="Arial" w:eastAsia="Arial" w:hAnsi="Arial" w:cs="Arial"/>
          <w:color w:val="000000"/>
        </w:rPr>
      </w:pPr>
    </w:p>
    <w:p w14:paraId="5C139B46" w14:textId="77777777" w:rsidR="009F0327" w:rsidRDefault="00C07ED9">
      <w:pPr>
        <w:numPr>
          <w:ilvl w:val="0"/>
          <w:numId w:val="3"/>
        </w:numPr>
        <w:pBdr>
          <w:top w:val="nil"/>
          <w:left w:val="nil"/>
          <w:bottom w:val="nil"/>
          <w:right w:val="nil"/>
          <w:between w:val="nil"/>
        </w:pBdr>
        <w:tabs>
          <w:tab w:val="left" w:pos="142"/>
        </w:tabs>
        <w:ind w:left="284" w:hanging="284"/>
        <w:jc w:val="both"/>
        <w:rPr>
          <w:rFonts w:ascii="Arial" w:eastAsia="Arial" w:hAnsi="Arial" w:cs="Arial"/>
          <w:color w:val="000000"/>
        </w:rPr>
      </w:pPr>
      <w:r>
        <w:rPr>
          <w:rFonts w:ascii="Arial" w:eastAsia="Arial" w:hAnsi="Arial" w:cs="Arial"/>
          <w:color w:val="000000"/>
        </w:rPr>
        <w:t>Manifestación sobre la necesidad de poner la solicitud en conocimiento de la contraparte.</w:t>
      </w:r>
    </w:p>
    <w:p w14:paraId="7738C37D" w14:textId="77777777" w:rsidR="009F0327" w:rsidRDefault="009F0327">
      <w:pPr>
        <w:pBdr>
          <w:top w:val="nil"/>
          <w:left w:val="nil"/>
          <w:bottom w:val="nil"/>
          <w:right w:val="nil"/>
          <w:between w:val="nil"/>
        </w:pBdr>
        <w:tabs>
          <w:tab w:val="left" w:pos="142"/>
        </w:tabs>
        <w:ind w:left="284" w:hanging="284"/>
        <w:jc w:val="both"/>
        <w:rPr>
          <w:rFonts w:ascii="Arial" w:eastAsia="Arial" w:hAnsi="Arial" w:cs="Arial"/>
          <w:color w:val="000000"/>
        </w:rPr>
      </w:pPr>
    </w:p>
    <w:p w14:paraId="57B0844D" w14:textId="77777777" w:rsidR="009F0327" w:rsidRDefault="00C07ED9">
      <w:pPr>
        <w:numPr>
          <w:ilvl w:val="0"/>
          <w:numId w:val="3"/>
        </w:numPr>
        <w:pBdr>
          <w:top w:val="nil"/>
          <w:left w:val="nil"/>
          <w:bottom w:val="nil"/>
          <w:right w:val="nil"/>
          <w:between w:val="nil"/>
        </w:pBdr>
        <w:tabs>
          <w:tab w:val="left" w:pos="142"/>
        </w:tabs>
        <w:ind w:left="284" w:hanging="284"/>
        <w:jc w:val="both"/>
        <w:rPr>
          <w:rFonts w:ascii="Arial" w:eastAsia="Arial" w:hAnsi="Arial" w:cs="Arial"/>
          <w:color w:val="000000"/>
        </w:rPr>
      </w:pPr>
      <w:r>
        <w:rPr>
          <w:rFonts w:ascii="Arial" w:eastAsia="Arial" w:hAnsi="Arial" w:cs="Arial"/>
          <w:color w:val="000000"/>
        </w:rPr>
        <w:t>Pago de la tasa correspondiente por la petición de designación de árbitro de emergencia.</w:t>
      </w:r>
    </w:p>
    <w:p w14:paraId="29D05B69" w14:textId="1271112E" w:rsidR="009F0327" w:rsidRDefault="00C07ED9">
      <w:pPr>
        <w:numPr>
          <w:ilvl w:val="0"/>
          <w:numId w:val="2"/>
        </w:numPr>
        <w:pBdr>
          <w:top w:val="nil"/>
          <w:left w:val="nil"/>
          <w:bottom w:val="nil"/>
          <w:right w:val="nil"/>
          <w:between w:val="nil"/>
        </w:pBdr>
        <w:tabs>
          <w:tab w:val="left" w:pos="142"/>
          <w:tab w:val="left" w:pos="346"/>
        </w:tabs>
        <w:spacing w:before="265" w:line="273" w:lineRule="auto"/>
        <w:ind w:left="284" w:right="60" w:hanging="284"/>
        <w:jc w:val="both"/>
        <w:rPr>
          <w:rFonts w:ascii="Calibri" w:eastAsia="Calibri" w:hAnsi="Calibri" w:cs="Calibri"/>
          <w:color w:val="000000"/>
        </w:rPr>
      </w:pPr>
      <w:r>
        <w:rPr>
          <w:rFonts w:ascii="Arial" w:eastAsia="Arial" w:hAnsi="Arial" w:cs="Arial"/>
          <w:color w:val="000000"/>
        </w:rPr>
        <w:t xml:space="preserve"> La Solicitud de Árbitro de Emergencia deberá presentarse en número de copias suficientes para cada parte, para el Centro y para el Árbitro de Emergencia; salvo que la presentación sea </w:t>
      </w:r>
      <w:r>
        <w:rPr>
          <w:rFonts w:ascii="Arial" w:eastAsia="Arial" w:hAnsi="Arial" w:cs="Arial"/>
          <w:color w:val="000000"/>
        </w:rPr>
        <w:lastRenderedPageBreak/>
        <w:t>realizada de forma virtual, en cuyo caso deberá ser remitida al correo electrónico de Mesa de Partes del Centro</w:t>
      </w:r>
      <w:r w:rsidR="00C9172A">
        <w:rPr>
          <w:rFonts w:ascii="Arial" w:eastAsia="Arial" w:hAnsi="Arial" w:cs="Arial"/>
          <w:color w:val="000000"/>
        </w:rPr>
        <w:t>.</w:t>
      </w:r>
    </w:p>
    <w:p w14:paraId="394F9207" w14:textId="77777777" w:rsidR="009F0327" w:rsidRDefault="00C07ED9">
      <w:pPr>
        <w:numPr>
          <w:ilvl w:val="0"/>
          <w:numId w:val="2"/>
        </w:numPr>
        <w:pBdr>
          <w:top w:val="nil"/>
          <w:left w:val="nil"/>
          <w:bottom w:val="nil"/>
          <w:right w:val="nil"/>
          <w:between w:val="nil"/>
        </w:pBdr>
        <w:tabs>
          <w:tab w:val="left" w:pos="142"/>
          <w:tab w:val="left" w:pos="346"/>
        </w:tabs>
        <w:spacing w:before="265" w:line="273" w:lineRule="auto"/>
        <w:ind w:left="284" w:right="60" w:hanging="284"/>
        <w:jc w:val="both"/>
        <w:rPr>
          <w:rFonts w:ascii="Calibri" w:eastAsia="Calibri" w:hAnsi="Calibri" w:cs="Calibri"/>
          <w:color w:val="000000"/>
        </w:rPr>
      </w:pPr>
      <w:r>
        <w:rPr>
          <w:rFonts w:ascii="Arial" w:eastAsia="Arial" w:hAnsi="Arial" w:cs="Arial"/>
          <w:b/>
          <w:color w:val="000000"/>
        </w:rPr>
        <w:t xml:space="preserve"> </w:t>
      </w:r>
      <w:r>
        <w:rPr>
          <w:rFonts w:ascii="Arial" w:eastAsia="Arial" w:hAnsi="Arial" w:cs="Arial"/>
          <w:color w:val="000000"/>
        </w:rPr>
        <w:t>El Centro verificará que la solicitud de árbitro de emergencia cumpla con los requisitos establecidos en los literales a, b, c, d, e y f del presente artículo, en el plazo máximo de un (1) día hábil. En caso corresponda, se requerirá al solicitante la subsanación de su Solicitud de Árbitro de Emergencia, así como el pago de la tasa administrativa del Centro por concepto de Servicio de Árbitro de Emergencia; otorgándole para tales fines el plazo máximo de un (1) día hábil.</w:t>
      </w:r>
    </w:p>
    <w:p w14:paraId="3CA1E9F0" w14:textId="77777777" w:rsidR="009F0327" w:rsidRDefault="00C07ED9">
      <w:pPr>
        <w:numPr>
          <w:ilvl w:val="0"/>
          <w:numId w:val="2"/>
        </w:numPr>
        <w:pBdr>
          <w:top w:val="nil"/>
          <w:left w:val="nil"/>
          <w:bottom w:val="nil"/>
          <w:right w:val="nil"/>
          <w:between w:val="nil"/>
        </w:pBdr>
        <w:tabs>
          <w:tab w:val="left" w:pos="142"/>
          <w:tab w:val="left" w:pos="346"/>
        </w:tabs>
        <w:spacing w:before="265" w:line="273" w:lineRule="auto"/>
        <w:ind w:left="284" w:right="60" w:hanging="284"/>
        <w:jc w:val="both"/>
        <w:rPr>
          <w:rFonts w:ascii="Arial" w:eastAsia="Arial" w:hAnsi="Arial" w:cs="Arial"/>
          <w:color w:val="000000"/>
        </w:rPr>
      </w:pPr>
      <w:r>
        <w:rPr>
          <w:rFonts w:ascii="Arial" w:eastAsia="Arial" w:hAnsi="Arial" w:cs="Arial"/>
          <w:color w:val="000000"/>
        </w:rPr>
        <w:t xml:space="preserve"> El pago por concepto de tasa administrativa y honorarios del Árbitro de Emergencia deberá ser realizado con la admisión de la Solicitud de Arbitraje de Emergencia y la aceptación del Árbitro de Emergencia.</w:t>
      </w:r>
    </w:p>
    <w:p w14:paraId="2A987C66" w14:textId="77777777" w:rsidR="009F0327" w:rsidRDefault="00C07ED9">
      <w:pPr>
        <w:numPr>
          <w:ilvl w:val="0"/>
          <w:numId w:val="2"/>
        </w:numPr>
        <w:pBdr>
          <w:top w:val="nil"/>
          <w:left w:val="nil"/>
          <w:bottom w:val="nil"/>
          <w:right w:val="nil"/>
          <w:between w:val="nil"/>
        </w:pBdr>
        <w:tabs>
          <w:tab w:val="left" w:pos="142"/>
          <w:tab w:val="left" w:pos="346"/>
        </w:tabs>
        <w:spacing w:before="265" w:line="273" w:lineRule="auto"/>
        <w:ind w:left="284" w:right="60" w:hanging="284"/>
        <w:jc w:val="both"/>
        <w:rPr>
          <w:rFonts w:ascii="Arial" w:eastAsia="Arial" w:hAnsi="Arial" w:cs="Arial"/>
          <w:color w:val="000000"/>
        </w:rPr>
      </w:pPr>
      <w:r>
        <w:rPr>
          <w:rFonts w:ascii="Arial" w:eastAsia="Arial" w:hAnsi="Arial" w:cs="Arial"/>
          <w:color w:val="000000"/>
        </w:rPr>
        <w:t xml:space="preserve"> De no efectuar la subsanación, se procederá a archivar la solicitud, sin perjuicio del derecho del solicitante a presentar una nueva solicitud de ser aún oportuno.</w:t>
      </w:r>
    </w:p>
    <w:p w14:paraId="36E91139" w14:textId="77777777" w:rsidR="009F0327" w:rsidRDefault="00C07ED9">
      <w:pPr>
        <w:numPr>
          <w:ilvl w:val="0"/>
          <w:numId w:val="2"/>
        </w:numPr>
        <w:pBdr>
          <w:top w:val="nil"/>
          <w:left w:val="nil"/>
          <w:bottom w:val="nil"/>
          <w:right w:val="nil"/>
          <w:between w:val="nil"/>
        </w:pBdr>
        <w:tabs>
          <w:tab w:val="left" w:pos="142"/>
          <w:tab w:val="left" w:pos="346"/>
        </w:tabs>
        <w:spacing w:before="265" w:line="273" w:lineRule="auto"/>
        <w:ind w:left="284" w:right="60" w:hanging="284"/>
        <w:jc w:val="both"/>
        <w:rPr>
          <w:rFonts w:ascii="Arial" w:eastAsia="Arial" w:hAnsi="Arial" w:cs="Arial"/>
          <w:color w:val="000000"/>
        </w:rPr>
      </w:pPr>
      <w:r>
        <w:rPr>
          <w:rFonts w:ascii="Arial" w:eastAsia="Arial" w:hAnsi="Arial" w:cs="Arial"/>
          <w:color w:val="000000"/>
        </w:rPr>
        <w:t xml:space="preserve"> El archivo de la solicitud de arbitraje y la conclusión del arbitraje de emergencia no conlleva al derecho de devolución por los pagos realizados por el contratista.</w:t>
      </w:r>
    </w:p>
    <w:p w14:paraId="26468C14" w14:textId="77777777" w:rsidR="009F0327" w:rsidRDefault="00C07ED9">
      <w:pPr>
        <w:pStyle w:val="Ttulo2"/>
        <w:spacing w:before="302"/>
        <w:ind w:left="0"/>
        <w:jc w:val="both"/>
        <w:rPr>
          <w:rFonts w:ascii="Arial" w:eastAsia="Arial" w:hAnsi="Arial" w:cs="Arial"/>
          <w:sz w:val="24"/>
          <w:szCs w:val="24"/>
        </w:rPr>
      </w:pPr>
      <w:r>
        <w:rPr>
          <w:rFonts w:ascii="Arial" w:eastAsia="Arial" w:hAnsi="Arial" w:cs="Arial"/>
          <w:color w:val="916F41"/>
          <w:sz w:val="24"/>
          <w:szCs w:val="24"/>
        </w:rPr>
        <w:t xml:space="preserve">ARTÍCULO 4°. – </w:t>
      </w:r>
      <w:r>
        <w:rPr>
          <w:rFonts w:ascii="Arial" w:eastAsia="Arial" w:hAnsi="Arial" w:cs="Arial"/>
          <w:sz w:val="24"/>
          <w:szCs w:val="24"/>
        </w:rPr>
        <w:t>DESIGNACIÓN DEL ÁRBITRO DE EMERGENCIA</w:t>
      </w:r>
    </w:p>
    <w:p w14:paraId="7B78A2F8" w14:textId="77777777" w:rsidR="009F0327" w:rsidRDefault="00C07ED9">
      <w:pPr>
        <w:pBdr>
          <w:top w:val="nil"/>
          <w:left w:val="nil"/>
          <w:bottom w:val="nil"/>
          <w:right w:val="nil"/>
          <w:between w:val="nil"/>
        </w:pBdr>
        <w:tabs>
          <w:tab w:val="left" w:pos="342"/>
        </w:tabs>
        <w:spacing w:before="236" w:line="273" w:lineRule="auto"/>
        <w:ind w:right="44"/>
        <w:jc w:val="both"/>
        <w:rPr>
          <w:rFonts w:ascii="Arial" w:eastAsia="Arial" w:hAnsi="Arial" w:cs="Arial"/>
          <w:color w:val="000000"/>
        </w:rPr>
      </w:pPr>
      <w:r>
        <w:rPr>
          <w:rFonts w:ascii="Arial" w:eastAsia="Arial" w:hAnsi="Arial" w:cs="Arial"/>
          <w:color w:val="000000"/>
        </w:rPr>
        <w:t>1. El Centro es el encargado de designar al Árbitro de Emergencia, quien debe pertenecer a la Nómina de Árbitros.</w:t>
      </w:r>
    </w:p>
    <w:p w14:paraId="5E10FDC7" w14:textId="77777777" w:rsidR="009F0327" w:rsidRDefault="00C07ED9">
      <w:pPr>
        <w:pBdr>
          <w:top w:val="nil"/>
          <w:left w:val="nil"/>
          <w:bottom w:val="nil"/>
          <w:right w:val="nil"/>
          <w:between w:val="nil"/>
        </w:pBdr>
        <w:tabs>
          <w:tab w:val="left" w:pos="342"/>
        </w:tabs>
        <w:spacing w:before="236" w:line="273" w:lineRule="auto"/>
        <w:ind w:right="44"/>
        <w:jc w:val="both"/>
        <w:rPr>
          <w:rFonts w:ascii="Arial" w:eastAsia="Arial" w:hAnsi="Arial" w:cs="Arial"/>
          <w:color w:val="000000"/>
        </w:rPr>
      </w:pPr>
      <w:r>
        <w:rPr>
          <w:rFonts w:ascii="Arial" w:eastAsia="Arial" w:hAnsi="Arial" w:cs="Arial"/>
          <w:color w:val="000000"/>
        </w:rPr>
        <w:t>2. Presentada la Solicitud de Arbitraje de Emergencia, el Centro, a través del Consejo Superior de Arbitraje, deberá designar al Árbitro de Emergencia en un plazo de hasta un (1) día hábil de comunicada la admisión a trámite de la Solicitud.</w:t>
      </w:r>
    </w:p>
    <w:p w14:paraId="4CE49488" w14:textId="77777777" w:rsidR="009F0327" w:rsidRDefault="00C07ED9">
      <w:pPr>
        <w:pBdr>
          <w:top w:val="nil"/>
          <w:left w:val="nil"/>
          <w:bottom w:val="nil"/>
          <w:right w:val="nil"/>
          <w:between w:val="nil"/>
        </w:pBdr>
        <w:tabs>
          <w:tab w:val="left" w:pos="342"/>
        </w:tabs>
        <w:spacing w:before="236" w:line="273" w:lineRule="auto"/>
        <w:ind w:right="44"/>
        <w:jc w:val="both"/>
        <w:rPr>
          <w:rFonts w:ascii="Arial" w:eastAsia="Arial" w:hAnsi="Arial" w:cs="Arial"/>
          <w:color w:val="000000"/>
        </w:rPr>
      </w:pPr>
      <w:r>
        <w:rPr>
          <w:rFonts w:ascii="Arial" w:eastAsia="Arial" w:hAnsi="Arial" w:cs="Arial"/>
          <w:color w:val="000000"/>
        </w:rPr>
        <w:t>3. Conjuntamente a dicha designación, se deberá designar al secretario Arbitral correspondiente, quien solo ejercerá el cargo para el caso en específico, encontrándose prohibido de participar como secretario Arbitral en el Arbitraje derivado de la materia controvertida objeto de la medida de emergencia.</w:t>
      </w:r>
    </w:p>
    <w:p w14:paraId="78230C0E" w14:textId="035C4964" w:rsidR="009F0327" w:rsidRDefault="00C07ED9" w:rsidP="002F5BF7">
      <w:pPr>
        <w:pBdr>
          <w:top w:val="nil"/>
          <w:left w:val="nil"/>
          <w:bottom w:val="nil"/>
          <w:right w:val="nil"/>
          <w:between w:val="nil"/>
        </w:pBdr>
        <w:tabs>
          <w:tab w:val="left" w:pos="342"/>
        </w:tabs>
        <w:spacing w:before="236" w:line="273" w:lineRule="auto"/>
        <w:ind w:right="5"/>
        <w:jc w:val="both"/>
        <w:rPr>
          <w:rFonts w:ascii="Arial" w:eastAsia="Arial" w:hAnsi="Arial" w:cs="Arial"/>
          <w:color w:val="000000"/>
        </w:rPr>
      </w:pPr>
      <w:r>
        <w:rPr>
          <w:rFonts w:ascii="Arial" w:eastAsia="Arial" w:hAnsi="Arial" w:cs="Arial"/>
          <w:color w:val="000000"/>
        </w:rPr>
        <w:t>4. El Árbitro de Emergencia designado deberá remitir su aceptación o declinación</w:t>
      </w:r>
      <w:r w:rsidR="002F5BF7">
        <w:rPr>
          <w:rFonts w:ascii="Arial" w:eastAsia="Arial" w:hAnsi="Arial" w:cs="Arial"/>
          <w:color w:val="000000"/>
        </w:rPr>
        <w:t xml:space="preserve"> </w:t>
      </w:r>
      <w:r>
        <w:rPr>
          <w:rFonts w:ascii="Arial" w:eastAsia="Arial" w:hAnsi="Arial" w:cs="Arial"/>
          <w:color w:val="000000"/>
        </w:rPr>
        <w:t>al cargo en un plazo de hasta un (1) día hábil.</w:t>
      </w:r>
    </w:p>
    <w:p w14:paraId="73926F71" w14:textId="77777777" w:rsidR="009F0327" w:rsidRDefault="00C07ED9">
      <w:pPr>
        <w:pBdr>
          <w:top w:val="nil"/>
          <w:left w:val="nil"/>
          <w:bottom w:val="nil"/>
          <w:right w:val="nil"/>
          <w:between w:val="nil"/>
        </w:pBdr>
        <w:tabs>
          <w:tab w:val="left" w:pos="342"/>
        </w:tabs>
        <w:spacing w:before="236" w:line="273" w:lineRule="auto"/>
        <w:ind w:right="44"/>
        <w:jc w:val="both"/>
        <w:rPr>
          <w:rFonts w:ascii="Arial" w:eastAsia="Arial" w:hAnsi="Arial" w:cs="Arial"/>
          <w:color w:val="000000"/>
        </w:rPr>
      </w:pPr>
      <w:r>
        <w:rPr>
          <w:rFonts w:ascii="Arial" w:eastAsia="Arial" w:hAnsi="Arial" w:cs="Arial"/>
          <w:color w:val="000000"/>
        </w:rPr>
        <w:t>5. Con la aceptación de la designación se considera constituido el Árbitro de Emergencia.</w:t>
      </w:r>
    </w:p>
    <w:p w14:paraId="53CA33B7" w14:textId="77777777" w:rsidR="009F0327" w:rsidRDefault="00C07ED9">
      <w:pPr>
        <w:pBdr>
          <w:top w:val="nil"/>
          <w:left w:val="nil"/>
          <w:bottom w:val="nil"/>
          <w:right w:val="nil"/>
          <w:between w:val="nil"/>
        </w:pBdr>
        <w:tabs>
          <w:tab w:val="left" w:pos="342"/>
        </w:tabs>
        <w:spacing w:before="236" w:line="273" w:lineRule="auto"/>
        <w:ind w:right="44"/>
        <w:jc w:val="both"/>
        <w:rPr>
          <w:rFonts w:ascii="Arial" w:eastAsia="Arial" w:hAnsi="Arial" w:cs="Arial"/>
          <w:color w:val="000000"/>
        </w:rPr>
      </w:pPr>
      <w:r>
        <w:rPr>
          <w:rFonts w:ascii="Arial" w:eastAsia="Arial" w:hAnsi="Arial" w:cs="Arial"/>
          <w:color w:val="000000"/>
        </w:rPr>
        <w:t>6. Conjuntamente con su aceptación, el Árbitro de Emergencia deberá pronunciarse sobre la necesidad o no de poner en conocimiento la solicitud de Medida de Emergencia a la contraparte, según considere pertinente.</w:t>
      </w:r>
    </w:p>
    <w:p w14:paraId="0F2EE274" w14:textId="77777777" w:rsidR="009F0327" w:rsidRDefault="00C07ED9">
      <w:pPr>
        <w:pBdr>
          <w:top w:val="nil"/>
          <w:left w:val="nil"/>
          <w:bottom w:val="nil"/>
          <w:right w:val="nil"/>
          <w:between w:val="nil"/>
        </w:pBdr>
        <w:tabs>
          <w:tab w:val="left" w:pos="342"/>
        </w:tabs>
        <w:spacing w:before="236" w:line="273" w:lineRule="auto"/>
        <w:ind w:right="44"/>
        <w:jc w:val="both"/>
        <w:rPr>
          <w:rFonts w:ascii="Arial" w:eastAsia="Arial" w:hAnsi="Arial" w:cs="Arial"/>
          <w:color w:val="000000"/>
        </w:rPr>
      </w:pPr>
      <w:r>
        <w:rPr>
          <w:rFonts w:ascii="Arial" w:eastAsia="Arial" w:hAnsi="Arial" w:cs="Arial"/>
          <w:color w:val="000000"/>
        </w:rPr>
        <w:t>7. Una vez comunicada la aceptación del Árbitro de Emergencia a las partes, este cuenta con un plazo de hasta dos (2) días hábiles para emitir la Resolución correspondiente al pedido de medida</w:t>
      </w:r>
      <w:r>
        <w:rPr>
          <w:rFonts w:ascii="Arial" w:eastAsia="Arial" w:hAnsi="Arial" w:cs="Arial"/>
        </w:rPr>
        <w:t xml:space="preserve"> </w:t>
      </w:r>
      <w:r>
        <w:rPr>
          <w:rFonts w:ascii="Arial" w:eastAsia="Arial" w:hAnsi="Arial" w:cs="Arial"/>
          <w:color w:val="000000"/>
        </w:rPr>
        <w:t>de emergencia.</w:t>
      </w:r>
    </w:p>
    <w:p w14:paraId="14B22FFE" w14:textId="77777777" w:rsidR="009F0327" w:rsidRDefault="00C07ED9">
      <w:pPr>
        <w:pBdr>
          <w:top w:val="nil"/>
          <w:left w:val="nil"/>
          <w:bottom w:val="nil"/>
          <w:right w:val="nil"/>
          <w:between w:val="nil"/>
        </w:pBdr>
        <w:tabs>
          <w:tab w:val="left" w:pos="342"/>
        </w:tabs>
        <w:spacing w:before="236" w:line="273" w:lineRule="auto"/>
        <w:ind w:right="44"/>
        <w:jc w:val="both"/>
        <w:rPr>
          <w:rFonts w:ascii="Arial" w:eastAsia="Arial" w:hAnsi="Arial" w:cs="Arial"/>
          <w:color w:val="000000"/>
        </w:rPr>
      </w:pPr>
      <w:r>
        <w:rPr>
          <w:rFonts w:ascii="Arial" w:eastAsia="Arial" w:hAnsi="Arial" w:cs="Arial"/>
          <w:color w:val="000000"/>
        </w:rPr>
        <w:t xml:space="preserve">8. Una vez remitida la citada Resolución, el Árbitro de Emergencia deberá emitir su Recibo por </w:t>
      </w:r>
      <w:r>
        <w:rPr>
          <w:rFonts w:ascii="Arial" w:eastAsia="Arial" w:hAnsi="Arial" w:cs="Arial"/>
          <w:color w:val="000000"/>
        </w:rPr>
        <w:lastRenderedPageBreak/>
        <w:t>Honorarios a efectos de que el Centro realice el pago por concepto de sus honorarios, en coordinación con la Secretaría Arbitral.</w:t>
      </w:r>
    </w:p>
    <w:p w14:paraId="12E7F16D" w14:textId="77777777" w:rsidR="009F0327" w:rsidRDefault="00C07ED9">
      <w:pPr>
        <w:pBdr>
          <w:top w:val="nil"/>
          <w:left w:val="nil"/>
          <w:bottom w:val="nil"/>
          <w:right w:val="nil"/>
          <w:between w:val="nil"/>
        </w:pBdr>
        <w:tabs>
          <w:tab w:val="left" w:pos="342"/>
        </w:tabs>
        <w:spacing w:before="236" w:line="273" w:lineRule="auto"/>
        <w:ind w:right="44"/>
        <w:jc w:val="both"/>
        <w:rPr>
          <w:rFonts w:ascii="Arial" w:eastAsia="Arial" w:hAnsi="Arial" w:cs="Arial"/>
          <w:color w:val="000000"/>
        </w:rPr>
      </w:pPr>
      <w:r>
        <w:rPr>
          <w:rFonts w:ascii="Arial" w:eastAsia="Arial" w:hAnsi="Arial" w:cs="Arial"/>
          <w:color w:val="000000"/>
        </w:rPr>
        <w:t>9. Recibida la Resolución de Árbitro de Emergencia, la Secretaría Arbitral cuenta con el plazo de hasta dos (2) días hábiles para notificarla según corresponda.</w:t>
      </w:r>
    </w:p>
    <w:p w14:paraId="6725A761" w14:textId="77777777" w:rsidR="009F0327" w:rsidRDefault="00C07ED9">
      <w:pPr>
        <w:pBdr>
          <w:top w:val="nil"/>
          <w:left w:val="nil"/>
          <w:bottom w:val="nil"/>
          <w:right w:val="nil"/>
          <w:between w:val="nil"/>
        </w:pBdr>
        <w:tabs>
          <w:tab w:val="left" w:pos="342"/>
        </w:tabs>
        <w:spacing w:before="236" w:line="273" w:lineRule="auto"/>
        <w:ind w:right="44"/>
        <w:jc w:val="both"/>
        <w:rPr>
          <w:rFonts w:ascii="Arial" w:eastAsia="Arial" w:hAnsi="Arial" w:cs="Arial"/>
          <w:color w:val="000000"/>
        </w:rPr>
      </w:pPr>
      <w:r>
        <w:rPr>
          <w:rFonts w:ascii="Arial" w:eastAsia="Arial" w:hAnsi="Arial" w:cs="Arial"/>
          <w:color w:val="000000"/>
        </w:rPr>
        <w:t>10.Si el Árbitro de Emergencia decide que la medida debe ser tramitada con conocimiento de la contraparte, se correrá traslado a fin de que dicha parte se pronuncie en un plazo de hasta dos (2) días hábiles. Vencido el plazo otorgado, con la absolución de la contraparte o sin ella, el árbitro deberá resolver el pedido cautelar presentado; en un plazo máximo de dos</w:t>
      </w:r>
    </w:p>
    <w:p w14:paraId="2A932AB4" w14:textId="77777777" w:rsidR="009F0327" w:rsidRDefault="00C07ED9">
      <w:pPr>
        <w:pBdr>
          <w:top w:val="nil"/>
          <w:left w:val="nil"/>
          <w:bottom w:val="nil"/>
          <w:right w:val="nil"/>
          <w:between w:val="nil"/>
        </w:pBdr>
        <w:spacing w:line="297" w:lineRule="auto"/>
        <w:jc w:val="both"/>
        <w:rPr>
          <w:rFonts w:ascii="Arial" w:eastAsia="Arial" w:hAnsi="Arial" w:cs="Arial"/>
          <w:color w:val="000000"/>
        </w:rPr>
      </w:pPr>
      <w:r>
        <w:rPr>
          <w:rFonts w:ascii="Arial" w:eastAsia="Arial" w:hAnsi="Arial" w:cs="Arial"/>
          <w:color w:val="000000"/>
        </w:rPr>
        <w:t>(2) días hábiles.</w:t>
      </w:r>
    </w:p>
    <w:p w14:paraId="6AD9F588" w14:textId="77777777" w:rsidR="009F0327" w:rsidRDefault="00C07ED9">
      <w:pPr>
        <w:tabs>
          <w:tab w:val="left" w:pos="466"/>
        </w:tabs>
        <w:spacing w:before="273" w:line="273" w:lineRule="auto"/>
        <w:jc w:val="both"/>
        <w:rPr>
          <w:rFonts w:ascii="Arial" w:eastAsia="Arial" w:hAnsi="Arial" w:cs="Arial"/>
        </w:rPr>
      </w:pPr>
      <w:r>
        <w:rPr>
          <w:rFonts w:ascii="Arial" w:eastAsia="Arial" w:hAnsi="Arial" w:cs="Arial"/>
        </w:rPr>
        <w:t>11. El Árbitro de Emergencia deberá proceder a evaluar la solicitud de Medida de Emergencia y podrá admitir y/o solicitar medios probatorios si lo estima conveniente, otorgando para dichos efectos un plazo razonable de acuerdo a la naturaleza urgente de la solicitud.</w:t>
      </w:r>
    </w:p>
    <w:p w14:paraId="46AD60CF" w14:textId="77777777" w:rsidR="009F0327" w:rsidRDefault="00C07ED9">
      <w:pPr>
        <w:tabs>
          <w:tab w:val="left" w:pos="487"/>
        </w:tabs>
        <w:spacing w:before="273" w:line="273" w:lineRule="auto"/>
        <w:jc w:val="both"/>
        <w:rPr>
          <w:rFonts w:ascii="Arial" w:eastAsia="Arial" w:hAnsi="Arial" w:cs="Arial"/>
        </w:rPr>
      </w:pPr>
      <w:r>
        <w:rPr>
          <w:rFonts w:ascii="Arial" w:eastAsia="Arial" w:hAnsi="Arial" w:cs="Arial"/>
        </w:rPr>
        <w:t>12. Asimismo, el Árbitro de Emergencia podrá dictar medidas provisionales que coadyuven a la eficacia de la eventual medida cautelar de emergencia que se dicte en su momento.</w:t>
      </w:r>
    </w:p>
    <w:p w14:paraId="0467CF87" w14:textId="77777777" w:rsidR="009F0327" w:rsidRDefault="00C07ED9">
      <w:pPr>
        <w:tabs>
          <w:tab w:val="left" w:pos="487"/>
        </w:tabs>
        <w:spacing w:before="273" w:line="273" w:lineRule="auto"/>
        <w:jc w:val="both"/>
        <w:rPr>
          <w:rFonts w:ascii="Arial" w:eastAsia="Arial" w:hAnsi="Arial" w:cs="Arial"/>
        </w:rPr>
      </w:pPr>
      <w:r>
        <w:rPr>
          <w:rFonts w:ascii="Arial" w:eastAsia="Arial" w:hAnsi="Arial" w:cs="Arial"/>
        </w:rPr>
        <w:t>13. Finalmente, el Árbitro de Emergencia está plenamente facultado para convocar a las partes a la Realización de una Audiencia para exponer sus posiciones sobre el caso en concreto, para lo cual realiza la coordinación con la Secretaría Arbitral.</w:t>
      </w:r>
    </w:p>
    <w:p w14:paraId="1D9117DB" w14:textId="77777777" w:rsidR="009F0327" w:rsidRDefault="00C07ED9">
      <w:pPr>
        <w:pStyle w:val="Ttulo2"/>
        <w:spacing w:before="275"/>
        <w:ind w:left="0"/>
        <w:jc w:val="both"/>
        <w:rPr>
          <w:rFonts w:ascii="Arial" w:eastAsia="Arial" w:hAnsi="Arial" w:cs="Arial"/>
          <w:sz w:val="24"/>
          <w:szCs w:val="24"/>
        </w:rPr>
      </w:pPr>
      <w:r>
        <w:rPr>
          <w:rFonts w:ascii="Arial" w:eastAsia="Arial" w:hAnsi="Arial" w:cs="Arial"/>
          <w:color w:val="916F41"/>
          <w:sz w:val="24"/>
          <w:szCs w:val="24"/>
        </w:rPr>
        <w:t xml:space="preserve">ARTÍCULO 5°. – </w:t>
      </w:r>
      <w:r>
        <w:rPr>
          <w:rFonts w:ascii="Arial" w:eastAsia="Arial" w:hAnsi="Arial" w:cs="Arial"/>
          <w:sz w:val="24"/>
          <w:szCs w:val="24"/>
        </w:rPr>
        <w:t>CONCLUSIÓN DE LAS ACTUACIONES</w:t>
      </w:r>
    </w:p>
    <w:p w14:paraId="624CEDAB" w14:textId="77777777" w:rsidR="009F0327" w:rsidRDefault="00C07ED9">
      <w:pPr>
        <w:tabs>
          <w:tab w:val="left" w:pos="327"/>
        </w:tabs>
        <w:spacing w:before="235" w:line="273" w:lineRule="auto"/>
        <w:jc w:val="both"/>
        <w:rPr>
          <w:rFonts w:ascii="Arial" w:eastAsia="Arial" w:hAnsi="Arial" w:cs="Arial"/>
        </w:rPr>
      </w:pPr>
      <w:r>
        <w:rPr>
          <w:rFonts w:ascii="Arial" w:eastAsia="Arial" w:hAnsi="Arial" w:cs="Arial"/>
        </w:rPr>
        <w:t>1. Si dentro del plazo de diez (10) días hábiles, desde emitida la Resolución que contiene la Medida de Emergencia el solicitante no presenta la Solicitud de Arbitraje correspondiente, dicha medida caducará de pleno derecho.</w:t>
      </w:r>
    </w:p>
    <w:p w14:paraId="3C46B368" w14:textId="77777777" w:rsidR="009F0327" w:rsidRDefault="00C07ED9">
      <w:pPr>
        <w:tabs>
          <w:tab w:val="left" w:pos="327"/>
        </w:tabs>
        <w:spacing w:before="235" w:line="273" w:lineRule="auto"/>
        <w:ind w:right="1126"/>
        <w:jc w:val="both"/>
        <w:rPr>
          <w:rFonts w:ascii="Arial" w:eastAsia="Arial" w:hAnsi="Arial" w:cs="Arial"/>
        </w:rPr>
      </w:pPr>
      <w:r>
        <w:rPr>
          <w:rFonts w:ascii="Arial" w:eastAsia="Arial" w:hAnsi="Arial" w:cs="Arial"/>
        </w:rPr>
        <w:t>2. Esta regla no será de aplicación para los casos en que se dicte una medida de emergencia en un arbitraje en curso y antes de la conformación del Tribunal Arbitral.</w:t>
      </w:r>
    </w:p>
    <w:p w14:paraId="7F5D610A" w14:textId="77777777" w:rsidR="009F0327" w:rsidRDefault="00C07ED9">
      <w:pPr>
        <w:pStyle w:val="Ttulo2"/>
        <w:ind w:left="0"/>
        <w:jc w:val="both"/>
        <w:rPr>
          <w:rFonts w:ascii="Arial" w:eastAsia="Arial" w:hAnsi="Arial" w:cs="Arial"/>
          <w:sz w:val="24"/>
          <w:szCs w:val="24"/>
        </w:rPr>
      </w:pPr>
      <w:r>
        <w:rPr>
          <w:rFonts w:ascii="Arial" w:eastAsia="Arial" w:hAnsi="Arial" w:cs="Arial"/>
          <w:color w:val="916F41"/>
          <w:sz w:val="24"/>
          <w:szCs w:val="24"/>
        </w:rPr>
        <w:t>ARTÍCULO 6°. –</w:t>
      </w:r>
      <w:r>
        <w:rPr>
          <w:rFonts w:ascii="Arial" w:eastAsia="Arial" w:hAnsi="Arial" w:cs="Arial"/>
          <w:sz w:val="24"/>
          <w:szCs w:val="24"/>
        </w:rPr>
        <w:t xml:space="preserve"> IMPARCIALIDAD E INDEPENDENCIA</w:t>
      </w:r>
    </w:p>
    <w:p w14:paraId="3C60A8AE" w14:textId="77777777" w:rsidR="009F0327" w:rsidRDefault="00C07ED9">
      <w:pPr>
        <w:numPr>
          <w:ilvl w:val="0"/>
          <w:numId w:val="4"/>
        </w:numPr>
        <w:pBdr>
          <w:top w:val="nil"/>
          <w:left w:val="nil"/>
          <w:bottom w:val="nil"/>
          <w:right w:val="nil"/>
          <w:between w:val="nil"/>
        </w:pBdr>
        <w:tabs>
          <w:tab w:val="left" w:pos="408"/>
        </w:tabs>
        <w:spacing w:before="236" w:line="273" w:lineRule="auto"/>
        <w:ind w:left="426" w:right="44"/>
        <w:jc w:val="both"/>
        <w:rPr>
          <w:rFonts w:ascii="Arial" w:eastAsia="Arial" w:hAnsi="Arial" w:cs="Arial"/>
          <w:color w:val="000000"/>
        </w:rPr>
      </w:pPr>
      <w:r>
        <w:rPr>
          <w:rFonts w:ascii="Arial" w:eastAsia="Arial" w:hAnsi="Arial" w:cs="Arial"/>
          <w:color w:val="000000"/>
        </w:rPr>
        <w:t>Todo Árbitro de Emergencia deberá ser y permanecer imparcial e independiente de las partes involucradas desde su designación, por lo que no podrá desempeñarse como abogado de alguna de las partes, árbitro designado por una parte o por los árbitros de parte, en ningún arbitraje relacionado con la controversia.</w:t>
      </w:r>
    </w:p>
    <w:p w14:paraId="6333F25A" w14:textId="77777777" w:rsidR="009F0327" w:rsidRDefault="00C07ED9">
      <w:pPr>
        <w:numPr>
          <w:ilvl w:val="0"/>
          <w:numId w:val="4"/>
        </w:numPr>
        <w:pBdr>
          <w:top w:val="nil"/>
          <w:left w:val="nil"/>
          <w:bottom w:val="nil"/>
          <w:right w:val="nil"/>
          <w:between w:val="nil"/>
        </w:pBdr>
        <w:tabs>
          <w:tab w:val="left" w:pos="408"/>
        </w:tabs>
        <w:spacing w:before="236" w:line="273" w:lineRule="auto"/>
        <w:ind w:left="426" w:right="44"/>
        <w:jc w:val="both"/>
        <w:rPr>
          <w:rFonts w:ascii="Arial" w:eastAsia="Arial" w:hAnsi="Arial" w:cs="Arial"/>
          <w:color w:val="000000"/>
        </w:rPr>
      </w:pPr>
      <w:r>
        <w:rPr>
          <w:rFonts w:ascii="Arial" w:eastAsia="Arial" w:hAnsi="Arial" w:cs="Arial"/>
          <w:color w:val="000000"/>
        </w:rPr>
        <w:t>Son aplicables al Árbitro de Emergencia todas las disposiciones establecidas en el Reglamento de Arbitraje y el Código de Ética que correspondan.</w:t>
      </w:r>
    </w:p>
    <w:p w14:paraId="5AE54A0D" w14:textId="77777777" w:rsidR="009F0327" w:rsidRDefault="00C07ED9">
      <w:pPr>
        <w:numPr>
          <w:ilvl w:val="0"/>
          <w:numId w:val="4"/>
        </w:numPr>
        <w:pBdr>
          <w:top w:val="nil"/>
          <w:left w:val="nil"/>
          <w:bottom w:val="nil"/>
          <w:right w:val="nil"/>
          <w:between w:val="nil"/>
        </w:pBdr>
        <w:tabs>
          <w:tab w:val="left" w:pos="408"/>
        </w:tabs>
        <w:spacing w:before="236" w:line="273" w:lineRule="auto"/>
        <w:ind w:left="426" w:right="44"/>
        <w:jc w:val="both"/>
        <w:rPr>
          <w:rFonts w:ascii="Arial" w:eastAsia="Arial" w:hAnsi="Arial" w:cs="Arial"/>
          <w:color w:val="000000"/>
        </w:rPr>
      </w:pPr>
      <w:r>
        <w:rPr>
          <w:rFonts w:ascii="Arial" w:eastAsia="Arial" w:hAnsi="Arial" w:cs="Arial"/>
          <w:color w:val="000000"/>
        </w:rPr>
        <w:t>Asimismo, el Árbitro de Emergencia no podrá formar parte del Tribunal Arbitral que conozca las controversias surgidas de la materia controvertida.</w:t>
      </w:r>
    </w:p>
    <w:p w14:paraId="2956A905" w14:textId="2468DFE0" w:rsidR="009F0327" w:rsidRDefault="009F0327">
      <w:pPr>
        <w:pBdr>
          <w:top w:val="nil"/>
          <w:left w:val="nil"/>
          <w:bottom w:val="nil"/>
          <w:right w:val="nil"/>
          <w:between w:val="nil"/>
        </w:pBdr>
        <w:tabs>
          <w:tab w:val="left" w:pos="408"/>
        </w:tabs>
        <w:spacing w:before="236" w:line="273" w:lineRule="auto"/>
        <w:ind w:left="720" w:right="44"/>
        <w:jc w:val="both"/>
        <w:rPr>
          <w:rFonts w:ascii="Arial" w:eastAsia="Arial" w:hAnsi="Arial" w:cs="Arial"/>
        </w:rPr>
      </w:pPr>
    </w:p>
    <w:p w14:paraId="66615FD3" w14:textId="77777777" w:rsidR="002F5BF7" w:rsidRDefault="002F5BF7">
      <w:pPr>
        <w:pBdr>
          <w:top w:val="nil"/>
          <w:left w:val="nil"/>
          <w:bottom w:val="nil"/>
          <w:right w:val="nil"/>
          <w:between w:val="nil"/>
        </w:pBdr>
        <w:tabs>
          <w:tab w:val="left" w:pos="408"/>
        </w:tabs>
        <w:spacing w:before="236" w:line="273" w:lineRule="auto"/>
        <w:ind w:left="720" w:right="44"/>
        <w:jc w:val="both"/>
        <w:rPr>
          <w:rFonts w:ascii="Arial" w:eastAsia="Arial" w:hAnsi="Arial" w:cs="Arial"/>
        </w:rPr>
      </w:pPr>
    </w:p>
    <w:p w14:paraId="7C9EE58D" w14:textId="77777777" w:rsidR="009F0327" w:rsidRDefault="00C07ED9">
      <w:pPr>
        <w:pStyle w:val="Ttulo2"/>
        <w:spacing w:before="269"/>
        <w:ind w:left="0"/>
        <w:jc w:val="both"/>
        <w:rPr>
          <w:rFonts w:ascii="Arial" w:eastAsia="Arial" w:hAnsi="Arial" w:cs="Arial"/>
          <w:sz w:val="24"/>
          <w:szCs w:val="24"/>
        </w:rPr>
      </w:pPr>
      <w:r>
        <w:rPr>
          <w:rFonts w:ascii="Arial" w:eastAsia="Arial" w:hAnsi="Arial" w:cs="Arial"/>
          <w:color w:val="916F41"/>
          <w:sz w:val="24"/>
          <w:szCs w:val="24"/>
        </w:rPr>
        <w:lastRenderedPageBreak/>
        <w:t>ARTÍCULO 7°. –</w:t>
      </w:r>
      <w:r>
        <w:rPr>
          <w:rFonts w:ascii="Arial" w:eastAsia="Arial" w:hAnsi="Arial" w:cs="Arial"/>
          <w:color w:val="062E60"/>
          <w:sz w:val="24"/>
          <w:szCs w:val="24"/>
        </w:rPr>
        <w:t xml:space="preserve"> </w:t>
      </w:r>
      <w:r>
        <w:rPr>
          <w:rFonts w:ascii="Arial" w:eastAsia="Arial" w:hAnsi="Arial" w:cs="Arial"/>
          <w:sz w:val="24"/>
          <w:szCs w:val="24"/>
        </w:rPr>
        <w:t>RECUSACIÓN DE UN ÁRBITRO DE EMERGENCIA</w:t>
      </w:r>
    </w:p>
    <w:p w14:paraId="76D95006" w14:textId="77777777" w:rsidR="009F0327" w:rsidRDefault="00C07ED9">
      <w:pPr>
        <w:pBdr>
          <w:top w:val="nil"/>
          <w:left w:val="nil"/>
          <w:bottom w:val="nil"/>
          <w:right w:val="nil"/>
          <w:between w:val="nil"/>
        </w:pBdr>
        <w:tabs>
          <w:tab w:val="left" w:pos="440"/>
        </w:tabs>
        <w:spacing w:before="235" w:line="273" w:lineRule="auto"/>
        <w:ind w:left="284" w:right="44"/>
        <w:jc w:val="both"/>
        <w:rPr>
          <w:rFonts w:ascii="Arial" w:eastAsia="Arial" w:hAnsi="Arial" w:cs="Arial"/>
          <w:color w:val="000000"/>
        </w:rPr>
      </w:pPr>
      <w:r>
        <w:rPr>
          <w:rFonts w:ascii="Arial" w:eastAsia="Arial" w:hAnsi="Arial" w:cs="Arial"/>
          <w:color w:val="000000"/>
        </w:rPr>
        <w:t>1. Las partes podrán formular recusación en contra del Árbitro de Emergencia, dentro del día siguiente a la fecha de notificación de la aceptación del Árbitro de Emergencia, o desde la fecha en la que dicha parte tomó conocimiento de los hechos y circunstancias en que funda su recusación, siempre que aquella sea posterior a la recepción de la mencionada notificación.</w:t>
      </w:r>
    </w:p>
    <w:p w14:paraId="09DFF57D" w14:textId="77777777" w:rsidR="009F0327" w:rsidRDefault="00C07ED9">
      <w:pPr>
        <w:pBdr>
          <w:top w:val="nil"/>
          <w:left w:val="nil"/>
          <w:bottom w:val="nil"/>
          <w:right w:val="nil"/>
          <w:between w:val="nil"/>
        </w:pBdr>
        <w:tabs>
          <w:tab w:val="left" w:pos="440"/>
        </w:tabs>
        <w:spacing w:before="235" w:line="273" w:lineRule="auto"/>
        <w:ind w:left="284" w:right="44"/>
        <w:jc w:val="both"/>
        <w:rPr>
          <w:rFonts w:ascii="Arial" w:eastAsia="Arial" w:hAnsi="Arial" w:cs="Arial"/>
          <w:color w:val="000000"/>
        </w:rPr>
      </w:pPr>
      <w:r>
        <w:rPr>
          <w:rFonts w:ascii="Arial" w:eastAsia="Arial" w:hAnsi="Arial" w:cs="Arial"/>
          <w:color w:val="000000"/>
        </w:rPr>
        <w:t>2. Una vez presentada la recusación, la Secretaría General de Arbitraje procederá a ponerla en conocimiento del árbitro recusado y la contraparte, otorgando un plazo de un (1) día para que la absuelvan.</w:t>
      </w:r>
    </w:p>
    <w:p w14:paraId="6FD960E6" w14:textId="77777777" w:rsidR="009F0327" w:rsidRDefault="00C07ED9">
      <w:pPr>
        <w:pBdr>
          <w:top w:val="nil"/>
          <w:left w:val="nil"/>
          <w:bottom w:val="nil"/>
          <w:right w:val="nil"/>
          <w:between w:val="nil"/>
        </w:pBdr>
        <w:tabs>
          <w:tab w:val="left" w:pos="440"/>
        </w:tabs>
        <w:spacing w:before="235" w:line="273" w:lineRule="auto"/>
        <w:ind w:left="284" w:right="44"/>
        <w:jc w:val="both"/>
        <w:rPr>
          <w:rFonts w:ascii="Arial" w:eastAsia="Arial" w:hAnsi="Arial" w:cs="Arial"/>
          <w:color w:val="000000"/>
        </w:rPr>
      </w:pPr>
      <w:r>
        <w:rPr>
          <w:rFonts w:ascii="Arial" w:eastAsia="Arial" w:hAnsi="Arial" w:cs="Arial"/>
          <w:color w:val="000000"/>
        </w:rPr>
        <w:t>3. Con o sin la absolución a la recusación, ésta será decidida por el Consejo Superior de Arbitraje, lo resuelto tiene carácter definitivo.</w:t>
      </w:r>
    </w:p>
    <w:p w14:paraId="01674302" w14:textId="77777777" w:rsidR="009F0327" w:rsidRDefault="00C07ED9">
      <w:pPr>
        <w:pBdr>
          <w:top w:val="nil"/>
          <w:left w:val="nil"/>
          <w:bottom w:val="nil"/>
          <w:right w:val="nil"/>
          <w:between w:val="nil"/>
        </w:pBdr>
        <w:tabs>
          <w:tab w:val="left" w:pos="440"/>
        </w:tabs>
        <w:spacing w:before="235" w:line="273" w:lineRule="auto"/>
        <w:ind w:left="284" w:right="44"/>
        <w:jc w:val="both"/>
        <w:rPr>
          <w:rFonts w:ascii="Arial" w:eastAsia="Arial" w:hAnsi="Arial" w:cs="Arial"/>
          <w:color w:val="000000"/>
        </w:rPr>
      </w:pPr>
      <w:r>
        <w:rPr>
          <w:rFonts w:ascii="Arial" w:eastAsia="Arial" w:hAnsi="Arial" w:cs="Arial"/>
          <w:color w:val="000000"/>
        </w:rPr>
        <w:t>4. Si la recusación es declarada fundada, se dejará sin efecto la Resolución, debiendo el árbitro recusado devolver la totalidad de los honorarios arbitrales, bajo apercibimiento de exclusión de la nómina de árbitros y de iniciar las acciones legales correspondientes. El Consejo Superior de Arbitraje procederá a designar a un nuevo Árbitro de Emergencia para la emisión de una nueva Resolución, siempre y cuando no se haya constituido el Tribunal Arbitral, si así lo requiere la parte solicitante. De haberse efectuado la constitución, será este Tribunal el que dictará la medida cautelar correspondiente.</w:t>
      </w:r>
    </w:p>
    <w:p w14:paraId="7182431E" w14:textId="77777777" w:rsidR="009F0327" w:rsidRDefault="00C07ED9">
      <w:pPr>
        <w:pBdr>
          <w:top w:val="nil"/>
          <w:left w:val="nil"/>
          <w:bottom w:val="nil"/>
          <w:right w:val="nil"/>
          <w:between w:val="nil"/>
        </w:pBdr>
        <w:tabs>
          <w:tab w:val="left" w:pos="440"/>
        </w:tabs>
        <w:spacing w:before="235" w:line="273" w:lineRule="auto"/>
        <w:ind w:left="284" w:right="44"/>
        <w:jc w:val="both"/>
        <w:rPr>
          <w:rFonts w:ascii="Arial" w:eastAsia="Arial" w:hAnsi="Arial" w:cs="Arial"/>
          <w:color w:val="000000"/>
        </w:rPr>
      </w:pPr>
      <w:r>
        <w:rPr>
          <w:rFonts w:ascii="Arial" w:eastAsia="Arial" w:hAnsi="Arial" w:cs="Arial"/>
          <w:color w:val="000000"/>
        </w:rPr>
        <w:t>5. La interposición de la recusación no suspende el trámite de las actuaciones.</w:t>
      </w:r>
    </w:p>
    <w:p w14:paraId="2D55DA39" w14:textId="77777777" w:rsidR="009F0327" w:rsidRDefault="009F0327">
      <w:pPr>
        <w:pStyle w:val="Ttulo2"/>
        <w:spacing w:before="1"/>
        <w:ind w:left="0"/>
        <w:jc w:val="both"/>
        <w:rPr>
          <w:rFonts w:ascii="Arial" w:eastAsia="Arial" w:hAnsi="Arial" w:cs="Arial"/>
          <w:color w:val="916F41"/>
          <w:sz w:val="22"/>
          <w:szCs w:val="22"/>
        </w:rPr>
      </w:pPr>
    </w:p>
    <w:p w14:paraId="51A1998B" w14:textId="77777777" w:rsidR="009F0327" w:rsidRDefault="00C07ED9">
      <w:pPr>
        <w:pStyle w:val="Ttulo2"/>
        <w:spacing w:before="1"/>
        <w:ind w:left="0"/>
        <w:jc w:val="both"/>
        <w:rPr>
          <w:rFonts w:ascii="Arial" w:eastAsia="Arial" w:hAnsi="Arial" w:cs="Arial"/>
          <w:sz w:val="24"/>
          <w:szCs w:val="24"/>
        </w:rPr>
      </w:pPr>
      <w:r>
        <w:rPr>
          <w:rFonts w:ascii="Arial" w:eastAsia="Arial" w:hAnsi="Arial" w:cs="Arial"/>
          <w:color w:val="916F41"/>
          <w:sz w:val="24"/>
          <w:szCs w:val="24"/>
        </w:rPr>
        <w:t>ARTÍCULO 8°. –</w:t>
      </w:r>
      <w:r>
        <w:rPr>
          <w:rFonts w:ascii="Arial" w:eastAsia="Arial" w:hAnsi="Arial" w:cs="Arial"/>
          <w:sz w:val="24"/>
          <w:szCs w:val="24"/>
        </w:rPr>
        <w:t xml:space="preserve"> RESOLUCIÓN DE ÁRBITRO DE EMERGENCIA</w:t>
      </w:r>
    </w:p>
    <w:p w14:paraId="3F8C455C" w14:textId="77777777" w:rsidR="009F0327" w:rsidRDefault="00C07ED9">
      <w:pPr>
        <w:pBdr>
          <w:top w:val="nil"/>
          <w:left w:val="nil"/>
          <w:bottom w:val="nil"/>
          <w:right w:val="nil"/>
          <w:between w:val="nil"/>
        </w:pBdr>
        <w:tabs>
          <w:tab w:val="left" w:pos="354"/>
        </w:tabs>
        <w:spacing w:before="234" w:line="273" w:lineRule="auto"/>
        <w:ind w:left="142" w:right="44"/>
        <w:jc w:val="both"/>
        <w:rPr>
          <w:rFonts w:ascii="Arial" w:eastAsia="Arial" w:hAnsi="Arial" w:cs="Arial"/>
          <w:color w:val="000000"/>
        </w:rPr>
      </w:pPr>
      <w:r>
        <w:rPr>
          <w:rFonts w:ascii="Arial" w:eastAsia="Arial" w:hAnsi="Arial" w:cs="Arial"/>
          <w:color w:val="000000"/>
        </w:rPr>
        <w:t xml:space="preserve">1. La decisión del Árbitro de Emergencia deberá estar contenida en una Resolución. En dicha Resolución, </w:t>
      </w:r>
      <w:r>
        <w:rPr>
          <w:rFonts w:ascii="Arial" w:eastAsia="Arial" w:hAnsi="Arial" w:cs="Arial"/>
        </w:rPr>
        <w:t>aquél</w:t>
      </w:r>
      <w:r>
        <w:rPr>
          <w:rFonts w:ascii="Arial" w:eastAsia="Arial" w:hAnsi="Arial" w:cs="Arial"/>
          <w:color w:val="000000"/>
        </w:rPr>
        <w:t xml:space="preserve"> decidirá si la solicitud cautelar es admisible y si tiene competencia para ordenar las Medidas de Emergencia solicitadas. Las partes están obligadas a cumplir con la Resolución dictada.</w:t>
      </w:r>
    </w:p>
    <w:p w14:paraId="034DA86D" w14:textId="77777777" w:rsidR="009F0327" w:rsidRDefault="00C07ED9">
      <w:pPr>
        <w:pBdr>
          <w:top w:val="nil"/>
          <w:left w:val="nil"/>
          <w:bottom w:val="nil"/>
          <w:right w:val="nil"/>
          <w:between w:val="nil"/>
        </w:pBdr>
        <w:tabs>
          <w:tab w:val="left" w:pos="386"/>
        </w:tabs>
        <w:spacing w:before="204" w:line="273" w:lineRule="auto"/>
        <w:ind w:left="142" w:right="44"/>
        <w:jc w:val="both"/>
        <w:rPr>
          <w:rFonts w:ascii="Arial" w:eastAsia="Arial" w:hAnsi="Arial" w:cs="Arial"/>
          <w:color w:val="000000"/>
        </w:rPr>
      </w:pPr>
      <w:r>
        <w:rPr>
          <w:rFonts w:ascii="Arial" w:eastAsia="Arial" w:hAnsi="Arial" w:cs="Arial"/>
          <w:color w:val="000000"/>
        </w:rPr>
        <w:t>2. Una vez emitida y notificada dicha Resolución, cualquiera de las partes podrá solicitar al Árbitro de Emergencia la reconsideración, modificación o que se deje sin efecto aquella en un plazo de un (1) día contado a partir de notificados con aquella Orden; siempre que el Tribunal Arbitral no se haya constituido aún.</w:t>
      </w:r>
    </w:p>
    <w:p w14:paraId="55431472" w14:textId="77777777" w:rsidR="009F0327" w:rsidRDefault="00C07ED9">
      <w:pPr>
        <w:pBdr>
          <w:top w:val="nil"/>
          <w:left w:val="nil"/>
          <w:bottom w:val="nil"/>
          <w:right w:val="nil"/>
          <w:between w:val="nil"/>
        </w:pBdr>
        <w:tabs>
          <w:tab w:val="left" w:pos="386"/>
        </w:tabs>
        <w:spacing w:before="204" w:line="273" w:lineRule="auto"/>
        <w:ind w:left="142" w:right="44"/>
        <w:jc w:val="both"/>
        <w:rPr>
          <w:rFonts w:ascii="Arial" w:eastAsia="Arial" w:hAnsi="Arial" w:cs="Arial"/>
          <w:color w:val="000000"/>
        </w:rPr>
      </w:pPr>
      <w:r>
        <w:rPr>
          <w:rFonts w:ascii="Arial" w:eastAsia="Arial" w:hAnsi="Arial" w:cs="Arial"/>
          <w:color w:val="000000"/>
        </w:rPr>
        <w:t>3. El Árbitro de Emergencia pondrá la solicitud a conocimiento de la contraparte a fin de que la absuelva en un plazo de un (1) día. Con la absolución o sin ella, el Árbitro de Emergencia deberá pronunciarse sobre dicha solicitud en un plazo de dos (2) días de vencido el plazo otorgado para absolverla.</w:t>
      </w:r>
    </w:p>
    <w:p w14:paraId="097431C3" w14:textId="77777777" w:rsidR="009F0327" w:rsidRDefault="00C07ED9">
      <w:pPr>
        <w:pStyle w:val="Ttulo2"/>
        <w:ind w:left="0"/>
        <w:jc w:val="both"/>
        <w:rPr>
          <w:rFonts w:ascii="Arial" w:eastAsia="Arial" w:hAnsi="Arial" w:cs="Arial"/>
          <w:sz w:val="24"/>
          <w:szCs w:val="24"/>
        </w:rPr>
      </w:pPr>
      <w:r>
        <w:rPr>
          <w:rFonts w:ascii="Arial" w:eastAsia="Arial" w:hAnsi="Arial" w:cs="Arial"/>
          <w:color w:val="916F41"/>
          <w:sz w:val="24"/>
          <w:szCs w:val="24"/>
        </w:rPr>
        <w:t xml:space="preserve">ARTÍCULO 9°. – </w:t>
      </w:r>
      <w:r>
        <w:rPr>
          <w:rFonts w:ascii="Arial" w:eastAsia="Arial" w:hAnsi="Arial" w:cs="Arial"/>
          <w:sz w:val="24"/>
          <w:szCs w:val="24"/>
        </w:rPr>
        <w:t>FORMA Y REQUISITOS DE LA RESOLUCIÓN</w:t>
      </w:r>
    </w:p>
    <w:p w14:paraId="49A5AFE0" w14:textId="77777777" w:rsidR="009F0327" w:rsidRDefault="00C07ED9">
      <w:pPr>
        <w:tabs>
          <w:tab w:val="left" w:pos="336"/>
        </w:tabs>
        <w:spacing w:before="181" w:line="273" w:lineRule="auto"/>
        <w:jc w:val="both"/>
        <w:rPr>
          <w:rFonts w:ascii="Arial" w:eastAsia="Arial" w:hAnsi="Arial" w:cs="Arial"/>
        </w:rPr>
      </w:pPr>
      <w:r>
        <w:rPr>
          <w:rFonts w:ascii="Arial" w:eastAsia="Arial" w:hAnsi="Arial" w:cs="Arial"/>
        </w:rPr>
        <w:t>1. La Resolución deberá constar por escrito y deberá contener las razones en las que se basa. Estará fechada y firmada por el Árbitro de Emergencia.</w:t>
      </w:r>
    </w:p>
    <w:p w14:paraId="7458FA64" w14:textId="77777777" w:rsidR="009F0327" w:rsidRDefault="00C07ED9">
      <w:pPr>
        <w:tabs>
          <w:tab w:val="left" w:pos="336"/>
        </w:tabs>
        <w:spacing w:before="181" w:line="273" w:lineRule="auto"/>
        <w:jc w:val="both"/>
        <w:rPr>
          <w:rFonts w:ascii="Arial" w:eastAsia="Arial" w:hAnsi="Arial" w:cs="Arial"/>
        </w:rPr>
      </w:pPr>
      <w:r>
        <w:rPr>
          <w:rFonts w:ascii="Arial" w:eastAsia="Arial" w:hAnsi="Arial" w:cs="Arial"/>
        </w:rPr>
        <w:t>2. La Secretaría procederá a realizar la notificación de la Resolución a las partes dentro de un plazo máximo dos (2) días de recibida aquella, en los casos que corresponda.</w:t>
      </w:r>
    </w:p>
    <w:p w14:paraId="148ABC40" w14:textId="77777777" w:rsidR="009F0327" w:rsidRDefault="00C07ED9">
      <w:pPr>
        <w:pStyle w:val="Ttulo2"/>
        <w:ind w:left="0"/>
        <w:jc w:val="both"/>
        <w:rPr>
          <w:rFonts w:ascii="Arial" w:eastAsia="Arial" w:hAnsi="Arial" w:cs="Arial"/>
          <w:sz w:val="24"/>
          <w:szCs w:val="24"/>
        </w:rPr>
      </w:pPr>
      <w:r>
        <w:rPr>
          <w:rFonts w:ascii="Arial" w:eastAsia="Arial" w:hAnsi="Arial" w:cs="Arial"/>
          <w:color w:val="916F41"/>
          <w:sz w:val="24"/>
          <w:szCs w:val="24"/>
        </w:rPr>
        <w:lastRenderedPageBreak/>
        <w:t xml:space="preserve">ARTÍCULO 10°. – </w:t>
      </w:r>
      <w:r>
        <w:rPr>
          <w:rFonts w:ascii="Arial" w:eastAsia="Arial" w:hAnsi="Arial" w:cs="Arial"/>
          <w:sz w:val="24"/>
          <w:szCs w:val="24"/>
        </w:rPr>
        <w:t>CESE DE LOS EFECTOS DE LA RESOLUCIÓN</w:t>
      </w:r>
    </w:p>
    <w:p w14:paraId="2964A8B6" w14:textId="77777777" w:rsidR="009F0327" w:rsidRDefault="00C07ED9">
      <w:pPr>
        <w:pBdr>
          <w:top w:val="nil"/>
          <w:left w:val="nil"/>
          <w:bottom w:val="nil"/>
          <w:right w:val="nil"/>
          <w:between w:val="nil"/>
        </w:pBdr>
        <w:spacing w:before="235"/>
        <w:jc w:val="both"/>
        <w:rPr>
          <w:rFonts w:ascii="Arial" w:eastAsia="Arial" w:hAnsi="Arial" w:cs="Arial"/>
          <w:color w:val="000000"/>
        </w:rPr>
      </w:pPr>
      <w:r>
        <w:rPr>
          <w:rFonts w:ascii="Arial" w:eastAsia="Arial" w:hAnsi="Arial" w:cs="Arial"/>
          <w:color w:val="000000"/>
        </w:rPr>
        <w:t>La Resolución dejará de ser vinculante cuando:</w:t>
      </w:r>
    </w:p>
    <w:p w14:paraId="15A91035" w14:textId="77777777" w:rsidR="009F0327" w:rsidRDefault="00C07ED9">
      <w:pPr>
        <w:pBdr>
          <w:top w:val="nil"/>
          <w:left w:val="nil"/>
          <w:bottom w:val="nil"/>
          <w:right w:val="nil"/>
          <w:between w:val="nil"/>
        </w:pBdr>
        <w:spacing w:before="235"/>
        <w:jc w:val="both"/>
        <w:rPr>
          <w:rFonts w:ascii="Arial" w:eastAsia="Arial" w:hAnsi="Arial" w:cs="Arial"/>
          <w:color w:val="000000"/>
        </w:rPr>
      </w:pPr>
      <w:r>
        <w:rPr>
          <w:rFonts w:ascii="Arial" w:eastAsia="Arial" w:hAnsi="Arial" w:cs="Arial"/>
          <w:color w:val="000000"/>
        </w:rPr>
        <w:t>1. La parte solicitante de la Medida de Emergencia no cumpla con iniciar el arbitraje conforme lo dispuesto en el artículo 5° de la presente Directiva.</w:t>
      </w:r>
    </w:p>
    <w:p w14:paraId="11DF7CAD" w14:textId="77777777" w:rsidR="009F0327" w:rsidRDefault="00C07ED9">
      <w:pPr>
        <w:pBdr>
          <w:top w:val="nil"/>
          <w:left w:val="nil"/>
          <w:bottom w:val="nil"/>
          <w:right w:val="nil"/>
          <w:between w:val="nil"/>
        </w:pBdr>
        <w:spacing w:before="235"/>
        <w:jc w:val="both"/>
        <w:rPr>
          <w:rFonts w:ascii="Arial" w:eastAsia="Arial" w:hAnsi="Arial" w:cs="Arial"/>
          <w:color w:val="000000"/>
        </w:rPr>
      </w:pPr>
      <w:r>
        <w:rPr>
          <w:rFonts w:ascii="Arial" w:eastAsia="Arial" w:hAnsi="Arial" w:cs="Arial"/>
          <w:color w:val="000000"/>
        </w:rPr>
        <w:t>2. La recusación contra el Árbitro de Emergencia es declarada fundada, conforme lo dispuesto en el artículo 7° de la presente Directiva.</w:t>
      </w:r>
    </w:p>
    <w:p w14:paraId="45BEADE6" w14:textId="77777777" w:rsidR="009F0327" w:rsidRDefault="00C07ED9">
      <w:pPr>
        <w:pBdr>
          <w:top w:val="nil"/>
          <w:left w:val="nil"/>
          <w:bottom w:val="nil"/>
          <w:right w:val="nil"/>
          <w:between w:val="nil"/>
        </w:pBdr>
        <w:spacing w:before="235"/>
        <w:jc w:val="both"/>
        <w:rPr>
          <w:rFonts w:ascii="Arial" w:eastAsia="Arial" w:hAnsi="Arial" w:cs="Arial"/>
          <w:color w:val="000000"/>
        </w:rPr>
      </w:pPr>
      <w:r>
        <w:rPr>
          <w:rFonts w:ascii="Arial" w:eastAsia="Arial" w:hAnsi="Arial" w:cs="Arial"/>
          <w:color w:val="000000"/>
        </w:rPr>
        <w:t>3. La Resolución sea revocada por el Tribunal Arbitral a cargo del arbitraje.</w:t>
      </w:r>
    </w:p>
    <w:p w14:paraId="3F221B1C" w14:textId="77777777" w:rsidR="009F0327" w:rsidRDefault="00C07ED9">
      <w:pPr>
        <w:pBdr>
          <w:top w:val="nil"/>
          <w:left w:val="nil"/>
          <w:bottom w:val="nil"/>
          <w:right w:val="nil"/>
          <w:between w:val="nil"/>
        </w:pBdr>
        <w:spacing w:before="235"/>
        <w:jc w:val="both"/>
        <w:rPr>
          <w:rFonts w:ascii="Arial" w:eastAsia="Arial" w:hAnsi="Arial" w:cs="Arial"/>
          <w:color w:val="000000"/>
        </w:rPr>
      </w:pPr>
      <w:r>
        <w:rPr>
          <w:rFonts w:ascii="Arial" w:eastAsia="Arial" w:hAnsi="Arial" w:cs="Arial"/>
          <w:color w:val="000000"/>
        </w:rPr>
        <w:t>4. Se haya emitido el laudo final del Tribunal Arbitral, salvo que el Tribunal Arbitral decida expresamente lo contrario en dicho laudo.</w:t>
      </w:r>
    </w:p>
    <w:p w14:paraId="1A76D0C0" w14:textId="77777777" w:rsidR="009F0327" w:rsidRDefault="00C07ED9">
      <w:pPr>
        <w:pBdr>
          <w:top w:val="nil"/>
          <w:left w:val="nil"/>
          <w:bottom w:val="nil"/>
          <w:right w:val="nil"/>
          <w:between w:val="nil"/>
        </w:pBdr>
        <w:spacing w:before="235"/>
        <w:jc w:val="both"/>
        <w:rPr>
          <w:rFonts w:ascii="Arial" w:eastAsia="Arial" w:hAnsi="Arial" w:cs="Arial"/>
          <w:color w:val="283482"/>
        </w:rPr>
      </w:pPr>
      <w:r>
        <w:rPr>
          <w:rFonts w:ascii="Arial" w:eastAsia="Arial" w:hAnsi="Arial" w:cs="Arial"/>
          <w:color w:val="000000"/>
        </w:rPr>
        <w:t>5. Se produzca la terminación de las actuaciones arbitrales antes del dictado de un laudo.</w:t>
      </w:r>
    </w:p>
    <w:p w14:paraId="5B33057A" w14:textId="77777777" w:rsidR="009F0327" w:rsidRDefault="00C07ED9">
      <w:pPr>
        <w:pStyle w:val="Ttulo2"/>
        <w:tabs>
          <w:tab w:val="left" w:pos="1644"/>
          <w:tab w:val="left" w:pos="2220"/>
          <w:tab w:val="left" w:pos="2554"/>
          <w:tab w:val="left" w:pos="3848"/>
          <w:tab w:val="left" w:pos="4585"/>
          <w:tab w:val="left" w:pos="7083"/>
          <w:tab w:val="left" w:pos="7820"/>
          <w:tab w:val="left" w:pos="9235"/>
        </w:tabs>
        <w:spacing w:before="278"/>
        <w:ind w:left="0" w:right="-7"/>
        <w:jc w:val="both"/>
        <w:rPr>
          <w:rFonts w:ascii="Arial" w:eastAsia="Arial" w:hAnsi="Arial" w:cs="Arial"/>
          <w:sz w:val="24"/>
          <w:szCs w:val="24"/>
        </w:rPr>
      </w:pPr>
      <w:r>
        <w:rPr>
          <w:rFonts w:ascii="Arial" w:eastAsia="Arial" w:hAnsi="Arial" w:cs="Arial"/>
          <w:color w:val="916F41"/>
          <w:sz w:val="24"/>
          <w:szCs w:val="24"/>
        </w:rPr>
        <w:t>ARTÍCULO</w:t>
      </w:r>
      <w:r>
        <w:rPr>
          <w:rFonts w:ascii="Arial" w:eastAsia="Arial" w:hAnsi="Arial" w:cs="Arial"/>
          <w:color w:val="916F41"/>
          <w:sz w:val="24"/>
          <w:szCs w:val="24"/>
        </w:rPr>
        <w:tab/>
        <w:t>11°.</w:t>
      </w:r>
      <w:r>
        <w:rPr>
          <w:rFonts w:ascii="Arial" w:eastAsia="Arial" w:hAnsi="Arial" w:cs="Arial"/>
          <w:color w:val="916F41"/>
          <w:sz w:val="24"/>
          <w:szCs w:val="24"/>
        </w:rPr>
        <w:tab/>
        <w:t>–</w:t>
      </w:r>
      <w:r>
        <w:rPr>
          <w:rFonts w:ascii="Arial" w:eastAsia="Arial" w:hAnsi="Arial" w:cs="Arial"/>
          <w:sz w:val="24"/>
          <w:szCs w:val="24"/>
        </w:rPr>
        <w:t xml:space="preserve"> COSTOS DEL PROCEDIMIENTO DEL ÁRBITRO DE EMERGENCIA</w:t>
      </w:r>
    </w:p>
    <w:p w14:paraId="4F660E35" w14:textId="77777777" w:rsidR="009F0327" w:rsidRDefault="00C07ED9">
      <w:pPr>
        <w:pBdr>
          <w:top w:val="nil"/>
          <w:left w:val="nil"/>
          <w:bottom w:val="nil"/>
          <w:right w:val="nil"/>
          <w:between w:val="nil"/>
        </w:pBdr>
        <w:tabs>
          <w:tab w:val="left" w:pos="326"/>
        </w:tabs>
        <w:spacing w:before="198" w:line="273" w:lineRule="auto"/>
        <w:ind w:right="29"/>
        <w:jc w:val="both"/>
        <w:rPr>
          <w:rFonts w:ascii="Arial" w:eastAsia="Arial" w:hAnsi="Arial" w:cs="Arial"/>
          <w:color w:val="000000"/>
        </w:rPr>
      </w:pPr>
      <w:r>
        <w:rPr>
          <w:rFonts w:ascii="Arial" w:eastAsia="Arial" w:hAnsi="Arial" w:cs="Arial"/>
          <w:color w:val="000000"/>
        </w:rPr>
        <w:t>1. El solicitante deberá pagar un importe de S/. 12,000.00 (Doce mil y 00/100 Soles) incluye IGV, como tasa administrativa del Centro por concepto de Servicio de Árbitro de Emergencia y, como honorarios del Árbitro de Emergencia el monto de S/. 15,000.00 (Quince mil y 00/100 Soles) neto; dichos montos podrán ser ajustados por la Secretaría General de Arbitraje, tomando en consideración, entre otras cuestiones la naturaleza y complejidad del caso, así como el tiempo que se estima sería dedicado para emitir la Resolución.</w:t>
      </w:r>
    </w:p>
    <w:p w14:paraId="193BEEE2" w14:textId="77777777" w:rsidR="009F0327" w:rsidRDefault="00C07ED9">
      <w:pPr>
        <w:pBdr>
          <w:top w:val="nil"/>
          <w:left w:val="nil"/>
          <w:bottom w:val="nil"/>
          <w:right w:val="nil"/>
          <w:between w:val="nil"/>
        </w:pBdr>
        <w:spacing w:before="273" w:line="273" w:lineRule="auto"/>
        <w:ind w:right="44"/>
        <w:jc w:val="both"/>
        <w:rPr>
          <w:rFonts w:ascii="Arial" w:eastAsia="Arial" w:hAnsi="Arial" w:cs="Arial"/>
          <w:color w:val="000000"/>
        </w:rPr>
      </w:pPr>
      <w:r>
        <w:rPr>
          <w:rFonts w:ascii="Arial" w:eastAsia="Arial" w:hAnsi="Arial" w:cs="Arial"/>
          <w:color w:val="000000"/>
        </w:rPr>
        <w:t>2. Estos conceptos serán cancelados por la parte solicitante una vez admitida la Solicitud de Arbitraje de Emergencia y con la Aceptación del Árbitro de Emergencia designado por el Consejo Superior de Arbitraje, a las cuentas del Árbitro de Emergencia los Honorarios Arbitrales y Gastos Administrativos a las cuentas bancarias del Centro de Arbitraje.</w:t>
      </w:r>
    </w:p>
    <w:p w14:paraId="2B480F99" w14:textId="77777777" w:rsidR="009F0327" w:rsidRDefault="00C07ED9">
      <w:pPr>
        <w:pBdr>
          <w:top w:val="nil"/>
          <w:left w:val="nil"/>
          <w:bottom w:val="nil"/>
          <w:right w:val="nil"/>
          <w:between w:val="nil"/>
        </w:pBdr>
        <w:spacing w:before="273" w:line="273" w:lineRule="auto"/>
        <w:ind w:right="44"/>
        <w:jc w:val="both"/>
        <w:rPr>
          <w:rFonts w:ascii="Arial" w:eastAsia="Arial" w:hAnsi="Arial" w:cs="Arial"/>
          <w:color w:val="000000"/>
        </w:rPr>
      </w:pPr>
      <w:r>
        <w:rPr>
          <w:rFonts w:ascii="Arial" w:eastAsia="Arial" w:hAnsi="Arial" w:cs="Arial"/>
          <w:color w:val="000000"/>
        </w:rPr>
        <w:t>3. En la carta de aceptación del Árbitro de Emergencia deberá precisar la entidad financiera, número de cuenta y Código de Cuenta Interbancario (CCI), para efectos de que se realice el pago correspondiente en el plazo concedido por la Secretaría Arbitral.</w:t>
      </w:r>
    </w:p>
    <w:p w14:paraId="068B1C9A" w14:textId="77777777" w:rsidR="009F0327" w:rsidRDefault="00C07ED9">
      <w:pPr>
        <w:pBdr>
          <w:top w:val="nil"/>
          <w:left w:val="nil"/>
          <w:bottom w:val="nil"/>
          <w:right w:val="nil"/>
          <w:between w:val="nil"/>
        </w:pBdr>
        <w:spacing w:before="273" w:line="273" w:lineRule="auto"/>
        <w:ind w:right="44"/>
        <w:jc w:val="both"/>
        <w:rPr>
          <w:rFonts w:ascii="Arial" w:eastAsia="Arial" w:hAnsi="Arial" w:cs="Arial"/>
          <w:color w:val="000000"/>
        </w:rPr>
      </w:pPr>
      <w:r>
        <w:rPr>
          <w:rFonts w:ascii="Arial" w:eastAsia="Arial" w:hAnsi="Arial" w:cs="Arial"/>
          <w:color w:val="000000"/>
        </w:rPr>
        <w:t>4. Si la parte que presenta la Solicitud no paga el ajuste dentro del plazo fijado por la Secretaría, la Solicitud será archivada.</w:t>
      </w:r>
    </w:p>
    <w:p w14:paraId="21D50661" w14:textId="77777777" w:rsidR="009F0327" w:rsidRDefault="00C07ED9">
      <w:pPr>
        <w:pBdr>
          <w:top w:val="nil"/>
          <w:left w:val="nil"/>
          <w:bottom w:val="nil"/>
          <w:right w:val="nil"/>
          <w:between w:val="nil"/>
        </w:pBdr>
        <w:spacing w:before="273" w:line="273" w:lineRule="auto"/>
        <w:ind w:right="44"/>
        <w:jc w:val="both"/>
        <w:rPr>
          <w:rFonts w:ascii="Arial" w:eastAsia="Arial" w:hAnsi="Arial" w:cs="Arial"/>
          <w:color w:val="000000"/>
        </w:rPr>
      </w:pPr>
      <w:r>
        <w:rPr>
          <w:rFonts w:ascii="Arial" w:eastAsia="Arial" w:hAnsi="Arial" w:cs="Arial"/>
          <w:color w:val="000000"/>
        </w:rPr>
        <w:t>5. En la Resolución el Árbitro de Emergencia decidirá cuál de las partes debe asumir los costos del procedimiento o en qué proporción han de prorratearse entre ellas, lo cual deberá ser considerado por el Tribunal Arbitral al momento de emitir el laudo para que ordene los reembolsos que corresponda.</w:t>
      </w:r>
    </w:p>
    <w:p w14:paraId="04628731" w14:textId="77777777" w:rsidR="009F0327" w:rsidRDefault="00C07ED9">
      <w:pPr>
        <w:pBdr>
          <w:top w:val="nil"/>
          <w:left w:val="nil"/>
          <w:bottom w:val="nil"/>
          <w:right w:val="nil"/>
          <w:between w:val="nil"/>
        </w:pBdr>
        <w:spacing w:before="273" w:line="273" w:lineRule="auto"/>
        <w:ind w:right="44"/>
        <w:jc w:val="both"/>
        <w:rPr>
          <w:rFonts w:ascii="Arial" w:eastAsia="Arial" w:hAnsi="Arial" w:cs="Arial"/>
          <w:color w:val="000000"/>
        </w:rPr>
      </w:pPr>
      <w:r>
        <w:rPr>
          <w:rFonts w:ascii="Arial" w:eastAsia="Arial" w:hAnsi="Arial" w:cs="Arial"/>
          <w:color w:val="000000"/>
        </w:rPr>
        <w:t>6. En ningún caso procede la devolución de tasa administrativa del Centro por concepto de Servicio de Árbitro de Emergencia.</w:t>
      </w:r>
    </w:p>
    <w:p w14:paraId="52E90F02" w14:textId="77777777" w:rsidR="009F0327" w:rsidRDefault="00C07ED9">
      <w:pPr>
        <w:pBdr>
          <w:top w:val="nil"/>
          <w:left w:val="nil"/>
          <w:bottom w:val="nil"/>
          <w:right w:val="nil"/>
          <w:between w:val="nil"/>
        </w:pBdr>
        <w:spacing w:before="273" w:line="273" w:lineRule="auto"/>
        <w:ind w:right="44"/>
        <w:jc w:val="both"/>
        <w:rPr>
          <w:rFonts w:ascii="Arial" w:eastAsia="Arial" w:hAnsi="Arial" w:cs="Arial"/>
        </w:rPr>
      </w:pPr>
      <w:r>
        <w:rPr>
          <w:rFonts w:ascii="Arial" w:eastAsia="Arial" w:hAnsi="Arial" w:cs="Arial"/>
          <w:color w:val="000000"/>
        </w:rPr>
        <w:t xml:space="preserve">7. Para los casos de arbitraje express, la tasa administrativa de presentación de Solicitud de Arbitraje de Emergencia será de S/100.00 (Cien con 00/100 Soles), además, el solicitante deberá </w:t>
      </w:r>
      <w:r>
        <w:rPr>
          <w:rFonts w:ascii="Arial" w:eastAsia="Arial" w:hAnsi="Arial" w:cs="Arial"/>
          <w:color w:val="000000"/>
        </w:rPr>
        <w:lastRenderedPageBreak/>
        <w:t>pagar un importe de S/100.00 (Cien con 00/100 Soles) más los impuestos correspondientes, por concepto de Servicio de Árbitro de Emergencia al Centro de Arbitraje; y, como honorarios del Árbitro de Emergencia el monto de S/250.00 (Doscientos Cincuenta y 00/100 Soles) más los impuestos correspondientes; dichos montos podrán ser ajustados por la Secretaría General de Arbitraje, con los criterios que correspondan.</w:t>
      </w:r>
    </w:p>
    <w:p w14:paraId="51F1A002" w14:textId="77777777" w:rsidR="009F0327" w:rsidRDefault="00C07ED9">
      <w:pPr>
        <w:pStyle w:val="Ttulo2"/>
        <w:spacing w:before="208"/>
        <w:ind w:left="0" w:right="1126"/>
        <w:jc w:val="both"/>
        <w:rPr>
          <w:rFonts w:ascii="Arial" w:eastAsia="Arial" w:hAnsi="Arial" w:cs="Arial"/>
          <w:sz w:val="24"/>
          <w:szCs w:val="24"/>
        </w:rPr>
      </w:pPr>
      <w:r>
        <w:rPr>
          <w:rFonts w:ascii="Arial" w:eastAsia="Arial" w:hAnsi="Arial" w:cs="Arial"/>
          <w:color w:val="916F41"/>
          <w:sz w:val="24"/>
          <w:szCs w:val="24"/>
        </w:rPr>
        <w:t>ARTÍCULO 12°. –</w:t>
      </w:r>
      <w:r>
        <w:rPr>
          <w:rFonts w:ascii="Arial" w:eastAsia="Arial" w:hAnsi="Arial" w:cs="Arial"/>
          <w:sz w:val="24"/>
          <w:szCs w:val="24"/>
        </w:rPr>
        <w:t xml:space="preserve"> FACULTADES DEL TRIBUNAL ARBITRAL RESPECTO DE LA RESOLUCIÓN EMITIDA POR UN ÁRBITRO DE EMERGENCIA</w:t>
      </w:r>
    </w:p>
    <w:p w14:paraId="3D94563A" w14:textId="77777777" w:rsidR="009F0327" w:rsidRDefault="00C07ED9">
      <w:pPr>
        <w:pBdr>
          <w:top w:val="nil"/>
          <w:left w:val="nil"/>
          <w:bottom w:val="nil"/>
          <w:right w:val="nil"/>
          <w:between w:val="nil"/>
        </w:pBdr>
        <w:spacing w:before="198" w:line="273" w:lineRule="auto"/>
        <w:ind w:right="29"/>
        <w:jc w:val="both"/>
        <w:rPr>
          <w:rFonts w:ascii="Arial" w:eastAsia="Arial" w:hAnsi="Arial" w:cs="Arial"/>
        </w:rPr>
      </w:pPr>
      <w:r>
        <w:rPr>
          <w:rFonts w:ascii="Arial" w:eastAsia="Arial" w:hAnsi="Arial" w:cs="Arial"/>
        </w:rPr>
        <w:t>La Resolución emitida por el Árbitro de Emergencia no será vinculante para el Tribunal Arbitral. Una vez constituido, de oficio o a pedido de parte, los árbitros, podrán modificar o dejar sin efecto la Orden, total o parcialmente.</w:t>
      </w:r>
    </w:p>
    <w:p w14:paraId="7EBCBF51" w14:textId="77777777" w:rsidR="009F0327" w:rsidRDefault="00C07ED9">
      <w:pPr>
        <w:pStyle w:val="Ttulo2"/>
        <w:spacing w:before="275"/>
        <w:ind w:left="0"/>
        <w:jc w:val="both"/>
        <w:rPr>
          <w:rFonts w:ascii="Arial" w:eastAsia="Arial" w:hAnsi="Arial" w:cs="Arial"/>
          <w:sz w:val="24"/>
          <w:szCs w:val="24"/>
        </w:rPr>
      </w:pPr>
      <w:r>
        <w:rPr>
          <w:rFonts w:ascii="Arial" w:eastAsia="Arial" w:hAnsi="Arial" w:cs="Arial"/>
          <w:color w:val="916F41"/>
          <w:sz w:val="24"/>
          <w:szCs w:val="24"/>
        </w:rPr>
        <w:t>ARTÍCULO 13°. –</w:t>
      </w:r>
      <w:r>
        <w:rPr>
          <w:rFonts w:ascii="Arial" w:eastAsia="Arial" w:hAnsi="Arial" w:cs="Arial"/>
          <w:sz w:val="24"/>
          <w:szCs w:val="24"/>
        </w:rPr>
        <w:t xml:space="preserve"> FACULTADES DEL TRIBUNAL ARBITRAL RESPECTO DE LA RESOLUCIÓN EMITIDA POR UN ÁRBITRO DE EMERGENCIA</w:t>
      </w:r>
    </w:p>
    <w:p w14:paraId="2A0474DF" w14:textId="77777777" w:rsidR="009F0327" w:rsidRDefault="00C07ED9">
      <w:pPr>
        <w:pBdr>
          <w:top w:val="nil"/>
          <w:left w:val="nil"/>
          <w:bottom w:val="nil"/>
          <w:right w:val="nil"/>
          <w:between w:val="nil"/>
        </w:pBdr>
        <w:spacing w:before="197"/>
        <w:jc w:val="both"/>
        <w:rPr>
          <w:rFonts w:ascii="Arial" w:eastAsia="Arial" w:hAnsi="Arial" w:cs="Arial"/>
        </w:rPr>
      </w:pPr>
      <w:r>
        <w:rPr>
          <w:rFonts w:ascii="Arial" w:eastAsia="Arial" w:hAnsi="Arial" w:cs="Arial"/>
        </w:rPr>
        <w:t>El derecho de las partes de recurrir a un Árbitro de Emergencia no impide que soliciten medidas cautelares ante una autoridad judicial competente, no obstante, la tutela cautelar judicial y las Medidas de Emergencia reguladas en el presente Reglamento son excluyentes entre sí.</w:t>
      </w:r>
    </w:p>
    <w:p w14:paraId="08045EF7" w14:textId="77777777" w:rsidR="009F0327" w:rsidRDefault="00C07ED9">
      <w:pPr>
        <w:pStyle w:val="Ttulo2"/>
        <w:ind w:left="0"/>
        <w:jc w:val="both"/>
        <w:rPr>
          <w:rFonts w:ascii="Arial" w:eastAsia="Arial" w:hAnsi="Arial" w:cs="Arial"/>
          <w:sz w:val="24"/>
          <w:szCs w:val="24"/>
        </w:rPr>
      </w:pPr>
      <w:r>
        <w:rPr>
          <w:rFonts w:ascii="Arial" w:eastAsia="Arial" w:hAnsi="Arial" w:cs="Arial"/>
          <w:color w:val="916F41"/>
          <w:sz w:val="24"/>
          <w:szCs w:val="24"/>
        </w:rPr>
        <w:t>ARTÍCULO 14°. –</w:t>
      </w:r>
      <w:r>
        <w:rPr>
          <w:rFonts w:ascii="Arial" w:eastAsia="Arial" w:hAnsi="Arial" w:cs="Arial"/>
          <w:sz w:val="24"/>
          <w:szCs w:val="24"/>
        </w:rPr>
        <w:t xml:space="preserve"> APLICACIÓN SUPLETORIA DEL REGLAMENTO</w:t>
      </w:r>
    </w:p>
    <w:p w14:paraId="2ABBD5F1" w14:textId="77777777" w:rsidR="009F0327" w:rsidRDefault="00C07ED9">
      <w:pPr>
        <w:pStyle w:val="Ttulo2"/>
        <w:ind w:left="0"/>
        <w:jc w:val="both"/>
        <w:rPr>
          <w:rFonts w:ascii="Arial" w:eastAsia="Arial" w:hAnsi="Arial" w:cs="Arial"/>
          <w:b w:val="0"/>
          <w:sz w:val="22"/>
          <w:szCs w:val="22"/>
        </w:rPr>
      </w:pPr>
      <w:r>
        <w:rPr>
          <w:rFonts w:ascii="Arial" w:eastAsia="Arial" w:hAnsi="Arial" w:cs="Arial"/>
          <w:b w:val="0"/>
          <w:sz w:val="22"/>
          <w:szCs w:val="22"/>
        </w:rPr>
        <w:t>Para todo lo no regulado en la presente Directiva, será de aplicación el Reglamento de Arbitraje vigente, siempre que no contravenga lo establecido en esta disposición</w:t>
      </w:r>
    </w:p>
    <w:p w14:paraId="030B3879" w14:textId="77777777" w:rsidR="009F0327" w:rsidRDefault="009F0327"/>
    <w:p w14:paraId="60823D17" w14:textId="77777777" w:rsidR="009F0327" w:rsidRDefault="009F0327"/>
    <w:p w14:paraId="7F6E91F7" w14:textId="77777777" w:rsidR="009F0327" w:rsidRDefault="009F0327"/>
    <w:p w14:paraId="4FE2B62D" w14:textId="77777777" w:rsidR="009F0327" w:rsidRDefault="009F0327"/>
    <w:p w14:paraId="4773C985" w14:textId="77777777" w:rsidR="009F0327" w:rsidRDefault="009F0327"/>
    <w:p w14:paraId="4006BFBE" w14:textId="77777777" w:rsidR="009F0327" w:rsidRDefault="009F0327"/>
    <w:p w14:paraId="5DF6C05A" w14:textId="77777777" w:rsidR="009F0327" w:rsidRDefault="009F0327"/>
    <w:p w14:paraId="5E3E1EDA" w14:textId="77777777" w:rsidR="009F0327" w:rsidRDefault="009F0327"/>
    <w:p w14:paraId="10326917" w14:textId="77777777" w:rsidR="009F0327" w:rsidRDefault="009F0327"/>
    <w:p w14:paraId="78F64D4D" w14:textId="77777777" w:rsidR="009F0327" w:rsidRDefault="009F0327"/>
    <w:p w14:paraId="1C007AC9" w14:textId="77777777" w:rsidR="009F0327" w:rsidRDefault="009F0327">
      <w:pPr>
        <w:rPr>
          <w:rFonts w:ascii="Calibri" w:eastAsia="Calibri" w:hAnsi="Calibri" w:cs="Calibri"/>
          <w:sz w:val="24"/>
          <w:szCs w:val="24"/>
        </w:rPr>
      </w:pPr>
    </w:p>
    <w:p w14:paraId="59733594" w14:textId="77777777" w:rsidR="009F0327" w:rsidRDefault="009F0327">
      <w:pPr>
        <w:ind w:right="84"/>
        <w:jc w:val="both"/>
        <w:rPr>
          <w:rFonts w:ascii="Trebuchet MS" w:eastAsia="Trebuchet MS" w:hAnsi="Trebuchet MS" w:cs="Trebuchet MS"/>
          <w:sz w:val="32"/>
          <w:szCs w:val="32"/>
        </w:rPr>
      </w:pPr>
    </w:p>
    <w:sectPr w:rsidR="009F0327">
      <w:headerReference w:type="default" r:id="rId11"/>
      <w:footerReference w:type="default" r:id="rId12"/>
      <w:pgSz w:w="11910" w:h="16850"/>
      <w:pgMar w:top="1700" w:right="1133" w:bottom="1685" w:left="113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E5916" w14:textId="77777777" w:rsidR="002E1BE6" w:rsidRDefault="002E1BE6">
      <w:r>
        <w:separator/>
      </w:r>
    </w:p>
  </w:endnote>
  <w:endnote w:type="continuationSeparator" w:id="0">
    <w:p w14:paraId="42D98D8E" w14:textId="77777777" w:rsidR="002E1BE6" w:rsidRDefault="002E1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3F52" w14:textId="77777777" w:rsidR="009F0327" w:rsidRDefault="00C07ED9">
    <w:pPr>
      <w:pBdr>
        <w:top w:val="nil"/>
        <w:left w:val="nil"/>
        <w:bottom w:val="nil"/>
        <w:right w:val="nil"/>
        <w:between w:val="nil"/>
      </w:pBdr>
      <w:spacing w:line="14" w:lineRule="auto"/>
      <w:rPr>
        <w:color w:val="000000"/>
        <w:sz w:val="20"/>
        <w:szCs w:val="20"/>
      </w:rPr>
    </w:pPr>
    <w:r>
      <w:rPr>
        <w:noProof/>
      </w:rPr>
      <w:drawing>
        <wp:anchor distT="114300" distB="114300" distL="114300" distR="114300" simplePos="0" relativeHeight="251658240" behindDoc="0" locked="0" layoutInCell="1" hidden="0" allowOverlap="1" wp14:anchorId="140BC4B0" wp14:editId="2285532E">
          <wp:simplePos x="0" y="0"/>
          <wp:positionH relativeFrom="column">
            <wp:posOffset>19052</wp:posOffset>
          </wp:positionH>
          <wp:positionV relativeFrom="paragraph">
            <wp:posOffset>518325</wp:posOffset>
          </wp:positionV>
          <wp:extent cx="6121090" cy="61214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1090" cy="61214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39D76" w14:textId="77777777" w:rsidR="009F0327" w:rsidRDefault="009F0327">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53F6C" w14:textId="77777777" w:rsidR="002E1BE6" w:rsidRDefault="002E1BE6">
      <w:r>
        <w:separator/>
      </w:r>
    </w:p>
  </w:footnote>
  <w:footnote w:type="continuationSeparator" w:id="0">
    <w:p w14:paraId="4B7E12BC" w14:textId="77777777" w:rsidR="002E1BE6" w:rsidRDefault="002E1B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D954" w14:textId="77777777" w:rsidR="009F0327" w:rsidRDefault="009F0327">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ABA9A" w14:textId="77777777" w:rsidR="009F0327" w:rsidRDefault="00C07ED9">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59264" behindDoc="0" locked="0" layoutInCell="1" hidden="0" allowOverlap="1" wp14:anchorId="6FD4CADF" wp14:editId="5177D1EF">
          <wp:simplePos x="0" y="0"/>
          <wp:positionH relativeFrom="column">
            <wp:posOffset>5214938</wp:posOffset>
          </wp:positionH>
          <wp:positionV relativeFrom="paragraph">
            <wp:posOffset>161925</wp:posOffset>
          </wp:positionV>
          <wp:extent cx="1461634" cy="818515"/>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2980" b="21214"/>
                  <a:stretch>
                    <a:fillRect/>
                  </a:stretch>
                </pic:blipFill>
                <pic:spPr>
                  <a:xfrm>
                    <a:off x="0" y="0"/>
                    <a:ext cx="1461634"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F75A8"/>
    <w:multiLevelType w:val="multilevel"/>
    <w:tmpl w:val="DD5489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605868"/>
    <w:multiLevelType w:val="multilevel"/>
    <w:tmpl w:val="C5EC6B96"/>
    <w:lvl w:ilvl="0">
      <w:start w:val="1"/>
      <w:numFmt w:val="lowerLetter"/>
      <w:lvlText w:val="%1)"/>
      <w:lvlJc w:val="lef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2" w15:restartNumberingAfterBreak="0">
    <w:nsid w:val="6B114A69"/>
    <w:multiLevelType w:val="multilevel"/>
    <w:tmpl w:val="A7923888"/>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3" w15:restartNumberingAfterBreak="0">
    <w:nsid w:val="772A50FD"/>
    <w:multiLevelType w:val="multilevel"/>
    <w:tmpl w:val="A0B4C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327"/>
    <w:rsid w:val="001359B7"/>
    <w:rsid w:val="002E1BE6"/>
    <w:rsid w:val="002F5BF7"/>
    <w:rsid w:val="0043237B"/>
    <w:rsid w:val="009F0327"/>
    <w:rsid w:val="00C07ED9"/>
    <w:rsid w:val="00C9172A"/>
    <w:rsid w:val="00C9260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916EA"/>
  <w15:docId w15:val="{62CF4E71-2EBB-064E-B1DB-62FD83AA4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jc w:val="right"/>
      <w:outlineLvl w:val="0"/>
    </w:pPr>
    <w:rPr>
      <w:rFonts w:ascii="Trebuchet MS" w:eastAsia="Trebuchet MS" w:hAnsi="Trebuchet MS" w:cs="Trebuchet MS"/>
      <w:sz w:val="32"/>
      <w:szCs w:val="32"/>
    </w:rPr>
  </w:style>
  <w:style w:type="paragraph" w:styleId="Ttulo2">
    <w:name w:val="heading 2"/>
    <w:basedOn w:val="Normal"/>
    <w:next w:val="Normal"/>
    <w:uiPriority w:val="9"/>
    <w:unhideWhenUsed/>
    <w:qFormat/>
    <w:pPr>
      <w:spacing w:before="276"/>
      <w:ind w:left="57"/>
      <w:outlineLvl w:val="1"/>
    </w:pPr>
    <w:rPr>
      <w:rFonts w:ascii="Tahoma" w:eastAsia="Tahoma" w:hAnsi="Tahoma" w:cs="Tahoma"/>
      <w:b/>
      <w:sz w:val="25"/>
      <w:szCs w:val="25"/>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57"/>
    </w:pPr>
    <w:rPr>
      <w:rFonts w:ascii="Trebuchet MS" w:eastAsia="Trebuchet MS" w:hAnsi="Trebuchet MS" w:cs="Trebuchet MS"/>
      <w:sz w:val="217"/>
      <w:szCs w:val="217"/>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5"/>
      <w:szCs w:val="25"/>
    </w:rPr>
  </w:style>
  <w:style w:type="paragraph" w:styleId="Prrafodelista">
    <w:name w:val="List Paragraph"/>
    <w:basedOn w:val="Normal"/>
    <w:uiPriority w:val="1"/>
    <w:qFormat/>
    <w:pPr>
      <w:spacing w:before="206"/>
      <w:ind w:left="72" w:right="44"/>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Encabezado">
    <w:name w:val="header"/>
    <w:basedOn w:val="Normal"/>
    <w:link w:val="EncabezadoCar"/>
    <w:uiPriority w:val="99"/>
    <w:unhideWhenUsed/>
    <w:rsid w:val="00CE2F30"/>
    <w:pPr>
      <w:tabs>
        <w:tab w:val="center" w:pos="4419"/>
        <w:tab w:val="right" w:pos="8838"/>
      </w:tabs>
    </w:pPr>
  </w:style>
  <w:style w:type="character" w:customStyle="1" w:styleId="EncabezadoCar">
    <w:name w:val="Encabezado Car"/>
    <w:basedOn w:val="Fuentedeprrafopredeter"/>
    <w:link w:val="Encabezado"/>
    <w:uiPriority w:val="99"/>
    <w:rsid w:val="00CE2F30"/>
    <w:rPr>
      <w:rFonts w:ascii="Verdana" w:eastAsia="Verdana" w:hAnsi="Verdana" w:cs="Verdana"/>
      <w:lang w:val="es-ES"/>
    </w:rPr>
  </w:style>
  <w:style w:type="paragraph" w:styleId="Piedepgina">
    <w:name w:val="footer"/>
    <w:basedOn w:val="Normal"/>
    <w:link w:val="PiedepginaCar"/>
    <w:uiPriority w:val="99"/>
    <w:unhideWhenUsed/>
    <w:rsid w:val="00CE2F30"/>
    <w:pPr>
      <w:tabs>
        <w:tab w:val="center" w:pos="4419"/>
        <w:tab w:val="right" w:pos="8838"/>
      </w:tabs>
    </w:pPr>
  </w:style>
  <w:style w:type="character" w:customStyle="1" w:styleId="PiedepginaCar">
    <w:name w:val="Pie de página Car"/>
    <w:basedOn w:val="Fuentedeprrafopredeter"/>
    <w:link w:val="Piedepgina"/>
    <w:uiPriority w:val="99"/>
    <w:rsid w:val="00CE2F30"/>
    <w:rPr>
      <w:rFonts w:ascii="Verdana" w:eastAsia="Verdana" w:hAnsi="Verdana" w:cs="Verdana"/>
      <w:lang w:val="es-ES"/>
    </w:rPr>
  </w:style>
  <w:style w:type="table" w:styleId="Tablaconcuadrcula">
    <w:name w:val="Table Grid"/>
    <w:basedOn w:val="Tablanormal"/>
    <w:uiPriority w:val="39"/>
    <w:rsid w:val="00F71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bkVCJP3m4ckJ/txL0YY76RiA==">CgMxLjA4AHIhMTZ1czFHY1V3NkVEbUJOMVNGMm5nWHYtdjJqN00tb3lf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2272</Words>
  <Characters>12501</Characters>
  <Application>Microsoft Office Word</Application>
  <DocSecurity>0</DocSecurity>
  <Lines>104</Lines>
  <Paragraphs>29</Paragraphs>
  <ScaleCrop>false</ScaleCrop>
  <Company/>
  <LinksUpToDate>false</LinksUpToDate>
  <CharactersWithSpaces>14744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RENZO VALENTINO TORRES BARBOZA</dc:creator>
  <cp:lastModifiedBy>Jorge Juvenal</cp:lastModifiedBy>
  <cp:revision>4</cp:revision>
  <dcterms:created xsi:type="dcterms:W3CDTF">2025-12-15T22:16:00Z</dcterms:created>
  <dcterms:modified xsi:type="dcterms:W3CDTF">2025-12-16T22:02:00Z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2025-03-21T00:00:00Z</vt:filetime>
  </property>
  <property fmtid="{D5CDD505-2E9C-101B-9397-08002B2CF9AE}" pid="3" name="Creator">
    <vt:lpwstr>Canva</vt:lpwstr>
  </property>
  <property fmtid="{D5CDD505-2E9C-101B-9397-08002B2CF9AE}" pid="4" name="LastSaved">
    <vt:filetime>2025-09-11T00:00:00Z</vt:filetime>
  </property>
  <property fmtid="{D5CDD505-2E9C-101B-9397-08002B2CF9AE}" pid="5" name="Producer">
    <vt:lpwstr>Canva</vt:lpwstr>
  </property>
</Properties>
</file>