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-809624</wp:posOffset>
            </wp:positionH>
            <wp:positionV relativeFrom="paragraph">
              <wp:posOffset>-495299</wp:posOffset>
            </wp:positionV>
            <wp:extent cx="7596485" cy="10750079"/>
            <wp:effectExtent b="0" l="0" r="0" t="0"/>
            <wp:wrapNone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6485" cy="107500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spacing w:before="59" w:lineRule="auto"/>
        <w:ind w:left="1163" w:right="1300" w:firstLine="282"/>
        <w:rPr>
          <w:color w:val="17365d"/>
        </w:rPr>
        <w:sectPr>
          <w:headerReference r:id="rId8" w:type="default"/>
          <w:headerReference r:id="rId9" w:type="first"/>
          <w:headerReference r:id="rId10" w:type="even"/>
          <w:footerReference r:id="rId11" w:type="default"/>
          <w:footerReference r:id="rId12" w:type="first"/>
          <w:footerReference r:id="rId13" w:type="even"/>
          <w:pgSz w:h="16860" w:w="11930" w:orient="portrait"/>
          <w:pgMar w:bottom="780" w:top="780" w:left="1275" w:right="1275" w:header="0" w:footer="59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75" w:lineRule="auto"/>
        <w:ind w:left="1965" w:hanging="1546"/>
        <w:rPr>
          <w:b w:val="1"/>
          <w:color w:val="17365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75" w:lineRule="auto"/>
        <w:ind w:left="284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TABLA DE PAGOS Y ARANCELES DEL ARBITRAJE EXPRESS DEL CENTRO DE ARBITRAJE, PERITAJE Y JUNTA DE RESOLUCIÓN DE DISPUTAS DEL CIP - UCAYALI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9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74"/>
        </w:tabs>
        <w:ind w:left="274" w:hanging="27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INTRODUCCIÓN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63"/>
        </w:tabs>
        <w:ind w:left="263" w:hanging="261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TASA DE PRESENTACIÓN DE SOLICITUD DE ARBITRAJE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56"/>
        </w:tabs>
        <w:spacing w:before="1" w:lineRule="auto"/>
        <w:ind w:left="256" w:hanging="254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GASTOS ADMINISTRATIVOS Y SECRETARIA ARBITRAL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2"/>
        </w:tabs>
        <w:ind w:left="282" w:hanging="28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HONORARIOS DEL TRIBUNAL ARBITRAL UNIPERSONAL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39"/>
        </w:tabs>
        <w:ind w:left="239" w:hanging="237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HONORARIOS DEL TRIBUNAL ARBITRAL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39"/>
        </w:tabs>
        <w:rPr>
          <w:rFonts w:ascii="Arial" w:cs="Arial" w:eastAsia="Arial" w:hAnsi="Arial"/>
          <w:b w:val="1"/>
          <w:color w:val="062e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39"/>
        </w:tabs>
        <w:rPr>
          <w:rFonts w:ascii="Arial" w:cs="Arial" w:eastAsia="Arial" w:hAnsi="Arial"/>
          <w:b w:val="1"/>
          <w:color w:val="062e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161" w:line="393" w:lineRule="auto"/>
        <w:ind w:left="282" w:right="4159" w:firstLine="0"/>
        <w:rPr>
          <w:rFonts w:ascii="Arial" w:cs="Arial" w:eastAsia="Arial" w:hAnsi="Arial"/>
          <w:b w:val="1"/>
        </w:rPr>
        <w:sectPr>
          <w:type w:val="nextPage"/>
          <w:pgSz w:h="16860" w:w="11930" w:orient="portrait"/>
          <w:pgMar w:bottom="780" w:top="1135" w:left="1275" w:right="1865" w:header="0" w:footer="59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74"/>
        </w:tabs>
        <w:spacing w:before="75" w:lineRule="auto"/>
        <w:ind w:left="274" w:hanging="27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INTRODUCCIÓN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2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2" w:right="137" w:firstLine="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El Centro de Arbitraje, Peritaje y Junta de </w:t>
      </w:r>
      <w:r w:rsidDel="00000000" w:rsidR="00000000" w:rsidRPr="00000000">
        <w:rPr>
          <w:rFonts w:ascii="Arial" w:cs="Arial" w:eastAsia="Arial" w:hAnsi="Arial"/>
          <w:rtl w:val="0"/>
        </w:rPr>
        <w:t xml:space="preserve">Resolución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de Disputas del CIP-UCAYALI, pone a disposición de las partes dentro del proceso de Arbitraje Express, las tarifas de servicio; con la finalidad que las actuaciones arbitrales sean eficientes y eficaces, buscando evitar gastos y demoras innecesarias.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63"/>
        </w:tabs>
        <w:ind w:left="263" w:hanging="261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TASA DE PRESENTACIÓN DE SOLICITUD DE ARBITRAJE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31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" w:firstLine="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S/100.00 incluido IGV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9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56"/>
        </w:tabs>
        <w:ind w:left="256" w:hanging="254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GASTOS ADMINISTRATIVOS Y SECRETARIA ARBITRAL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57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36.0" w:type="dxa"/>
        <w:jc w:val="left"/>
        <w:tblInd w:w="2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77"/>
        <w:gridCol w:w="2946"/>
        <w:gridCol w:w="3013"/>
        <w:tblGridChange w:id="0">
          <w:tblGrid>
            <w:gridCol w:w="2977"/>
            <w:gridCol w:w="2946"/>
            <w:gridCol w:w="3013"/>
          </w:tblGrid>
        </w:tblGridChange>
      </w:tblGrid>
      <w:tr>
        <w:trPr>
          <w:cantSplit w:val="0"/>
          <w:trHeight w:val="873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CUANTÍA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3" w:right="4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MONTO MÍNIMO (sin IGV)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="261" w:lineRule="auto"/>
              <w:ind w:left="1283" w:hanging="925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MONTO MÁXIMO (sin IGV)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Hasta S/2,500.00</w:t>
            </w:r>
          </w:p>
        </w:tc>
        <w:tc>
          <w:tcPr/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90.00</w:t>
            </w:r>
          </w:p>
        </w:tc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275.00</w:t>
            </w:r>
          </w:p>
        </w:tc>
      </w:tr>
      <w:tr>
        <w:trPr>
          <w:cantSplit w:val="0"/>
          <w:trHeight w:val="522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S/2,501.00 a S/4,000.00</w:t>
            </w:r>
          </w:p>
        </w:tc>
        <w:tc>
          <w:tcPr/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3" w:right="7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275.00</w:t>
            </w:r>
          </w:p>
        </w:tc>
        <w:tc>
          <w:tcPr/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440.00</w:t>
            </w:r>
          </w:p>
        </w:tc>
      </w:tr>
      <w:tr>
        <w:trPr>
          <w:cantSplit w:val="0"/>
          <w:trHeight w:val="527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2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S/4,001.00 a S/6,500.00</w:t>
            </w:r>
          </w:p>
        </w:tc>
        <w:tc>
          <w:tcPr/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23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440.00</w:t>
            </w:r>
          </w:p>
        </w:tc>
        <w:tc>
          <w:tcPr/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20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715.00</w:t>
            </w:r>
          </w:p>
        </w:tc>
      </w:tr>
      <w:tr>
        <w:trPr>
          <w:cantSplit w:val="0"/>
          <w:trHeight w:val="525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S/6,501.00 a S/8,000.00</w:t>
            </w:r>
          </w:p>
        </w:tc>
        <w:tc>
          <w:tcPr/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3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715.00</w:t>
            </w:r>
          </w:p>
        </w:tc>
        <w:tc>
          <w:tcPr/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S/800.00</w:t>
            </w:r>
          </w:p>
        </w:tc>
      </w:tr>
      <w:tr>
        <w:trPr>
          <w:cantSplit w:val="0"/>
          <w:trHeight w:val="525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S/8,001.00 a S/9,500.00</w:t>
            </w:r>
          </w:p>
        </w:tc>
        <w:tc>
          <w:tcPr/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3" w:right="4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800.00</w:t>
            </w:r>
          </w:p>
        </w:tc>
        <w:tc>
          <w:tcPr/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1,045.00</w:t>
            </w:r>
          </w:p>
        </w:tc>
      </w:tr>
      <w:tr>
        <w:trPr>
          <w:cantSplit w:val="0"/>
          <w:trHeight w:val="527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S/9,501 a S/15,000.00</w:t>
            </w:r>
          </w:p>
        </w:tc>
        <w:tc>
          <w:tcPr/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3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1,045.00</w:t>
            </w:r>
          </w:p>
        </w:tc>
        <w:tc>
          <w:tcPr/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1,650.00</w:t>
            </w:r>
          </w:p>
        </w:tc>
      </w:tr>
      <w:tr>
        <w:trPr>
          <w:cantSplit w:val="0"/>
          <w:trHeight w:val="525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17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S/15,001 a S/20,000.00</w:t>
            </w:r>
          </w:p>
        </w:tc>
        <w:tc>
          <w:tcPr/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3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1,650.00</w:t>
            </w:r>
          </w:p>
        </w:tc>
        <w:tc>
          <w:tcPr/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2,200.00</w:t>
            </w:r>
          </w:p>
        </w:tc>
      </w:tr>
      <w:tr>
        <w:trPr>
          <w:cantSplit w:val="0"/>
          <w:trHeight w:val="525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16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 20,000.01 a S/ 50,000.00</w:t>
            </w:r>
          </w:p>
        </w:tc>
        <w:tc>
          <w:tcPr/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3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2,200.00</w:t>
            </w:r>
          </w:p>
        </w:tc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right="6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2,500.00</w:t>
            </w:r>
          </w:p>
        </w:tc>
      </w:tr>
      <w:tr>
        <w:trPr>
          <w:cantSplit w:val="0"/>
          <w:trHeight w:val="685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0" w:line="298" w:lineRule="auto"/>
              <w:ind w:left="969" w:hanging="456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 60,001.00 a S/ 100,000.00</w:t>
            </w:r>
          </w:p>
        </w:tc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3" w:right="8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2,500.00</w:t>
            </w:r>
          </w:p>
        </w:tc>
        <w:tc>
          <w:tcPr/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right="6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4,000.00</w:t>
            </w:r>
          </w:p>
        </w:tc>
      </w:tr>
    </w:tbl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9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19"/>
        </w:tabs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La elección de los montos indicados queda a criterio de la Secretaría General.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9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9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9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9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9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9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9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ind w:left="284" w:hanging="28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HONORARIOS DEL TRIBUNAL ARBITRAL UNIPERSONAL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6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21.0" w:type="dxa"/>
        <w:jc w:val="left"/>
        <w:tblInd w:w="2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05"/>
        <w:gridCol w:w="3008"/>
        <w:gridCol w:w="3008"/>
        <w:tblGridChange w:id="0">
          <w:tblGrid>
            <w:gridCol w:w="2905"/>
            <w:gridCol w:w="3008"/>
            <w:gridCol w:w="3008"/>
          </w:tblGrid>
        </w:tblGridChange>
      </w:tblGrid>
      <w:tr>
        <w:trPr>
          <w:cantSplit w:val="0"/>
          <w:trHeight w:val="700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2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CUANTÍA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26" w:right="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MONTO MÍNIMO (sin IGV)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26" w:right="4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MONTO MÁXIMO (sin IGV)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2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Hasta S/2,500.00</w:t>
            </w:r>
          </w:p>
        </w:tc>
        <w:tc>
          <w:tcPr/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6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S/130.00</w:t>
            </w:r>
          </w:p>
        </w:tc>
        <w:tc>
          <w:tcPr/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6" w:right="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S/375.00</w:t>
            </w:r>
          </w:p>
        </w:tc>
      </w:tr>
      <w:tr>
        <w:trPr>
          <w:cantSplit w:val="0"/>
          <w:trHeight w:val="417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22" w:right="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S/2,501.00 a S/4,000.00</w:t>
            </w:r>
          </w:p>
        </w:tc>
        <w:tc>
          <w:tcPr/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26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S/375.00</w:t>
            </w:r>
          </w:p>
        </w:tc>
        <w:tc>
          <w:tcPr/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26" w:right="9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S/600.00</w:t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22" w:right="7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S/4,001.00 a S/6,500.00</w:t>
            </w:r>
          </w:p>
        </w:tc>
        <w:tc>
          <w:tcPr/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26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S/600.00</w:t>
            </w:r>
          </w:p>
        </w:tc>
        <w:tc>
          <w:tcPr/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26" w:right="9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S/975.00</w:t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spacing w:before="90" w:lineRule="auto"/>
              <w:ind w:left="22" w:right="7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 S/6,501.00 a S/8,000.00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before="90" w:lineRule="auto"/>
              <w:ind w:left="26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S/975.00</w:t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before="90" w:lineRule="auto"/>
              <w:ind w:left="26" w:right="8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S/1,040.00</w:t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spacing w:before="90" w:lineRule="auto"/>
              <w:ind w:left="22" w:right="2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 S/8,001.00 a S/9,500.00</w:t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before="90" w:lineRule="auto"/>
              <w:ind w:left="26" w:right="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S/ 1,040.00</w:t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before="90" w:lineRule="auto"/>
              <w:ind w:left="26" w:right="1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S/ 1,235.00</w:t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spacing w:before="87" w:lineRule="auto"/>
              <w:ind w:left="22" w:right="2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 S/9,501 a S/15,000.00</w:t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before="90" w:lineRule="auto"/>
              <w:ind w:left="26" w:right="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S/ 1,235.00</w: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before="90" w:lineRule="auto"/>
              <w:ind w:left="26" w:right="14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S/1,950.00</w:t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spacing w:before="90" w:lineRule="auto"/>
              <w:ind w:left="22" w:right="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 S/15,001 a S/20,000.00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before="90" w:lineRule="auto"/>
              <w:ind w:left="26" w:right="6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S/ 1,950.00</w:t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before="90" w:lineRule="auto"/>
              <w:ind w:left="26" w:right="16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S/ 2,600.00</w:t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spacing w:before="90" w:lineRule="auto"/>
              <w:ind w:left="16" w:right="-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 S/ 20,000.01 a S/50,000.00</w:t>
            </w:r>
          </w:p>
        </w:tc>
        <w:tc>
          <w:tcPr/>
          <w:p w:rsidR="00000000" w:rsidDel="00000000" w:rsidP="00000000" w:rsidRDefault="00000000" w:rsidRPr="00000000" w14:paraId="00000060">
            <w:pPr>
              <w:spacing w:before="90" w:lineRule="auto"/>
              <w:ind w:left="26" w:right="6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S/ 2,600.00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before="90" w:lineRule="auto"/>
              <w:ind w:left="26" w:right="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S/4,000.00</w:t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62">
            <w:pPr>
              <w:spacing w:before="66" w:lineRule="auto"/>
              <w:ind w:left="928" w:hanging="456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 S/ 60,001.00 a S/ 100,000.00</w:t>
            </w:r>
          </w:p>
        </w:tc>
        <w:tc>
          <w:tcPr/>
          <w:p w:rsidR="00000000" w:rsidDel="00000000" w:rsidP="00000000" w:rsidRDefault="00000000" w:rsidRPr="00000000" w14:paraId="00000063">
            <w:pPr>
              <w:spacing w:before="90" w:lineRule="auto"/>
              <w:ind w:left="26" w:right="8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S/4,000.00</w:t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before="90" w:lineRule="auto"/>
              <w:ind w:left="26" w:right="16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S/ 5,500.00</w:t>
            </w:r>
          </w:p>
        </w:tc>
      </w:tr>
    </w:tbl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0" w:lineRule="auto"/>
        <w:ind w:left="20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0" w:lineRule="auto"/>
        <w:ind w:left="0" w:hanging="360"/>
        <w:jc w:val="center"/>
        <w:rPr>
          <w:rFonts w:ascii="Arial" w:cs="Arial" w:eastAsia="Arial" w:hAnsi="Arial"/>
        </w:rPr>
        <w:sectPr>
          <w:type w:val="nextPage"/>
          <w:pgSz w:h="16860" w:w="11930" w:orient="portrait"/>
          <w:pgMar w:bottom="780" w:top="1276" w:left="1275" w:right="1275" w:header="0" w:footer="599"/>
        </w:sectPr>
      </w:pPr>
      <w:r w:rsidDel="00000000" w:rsidR="00000000" w:rsidRPr="00000000">
        <w:rPr>
          <w:rFonts w:ascii="Arial" w:cs="Arial" w:eastAsia="Arial" w:hAnsi="Arial"/>
          <w:rtl w:val="0"/>
        </w:rPr>
        <w:t xml:space="preserve">La elección de los montos indicados queda a criterio de la Secretaría General.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5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39"/>
        </w:tabs>
        <w:ind w:left="239" w:hanging="237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HONORARIOS DEL TRIBUNAL ARBITRAL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8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34.0" w:type="dxa"/>
        <w:jc w:val="left"/>
        <w:tblInd w:w="2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43"/>
        <w:gridCol w:w="3044"/>
        <w:gridCol w:w="3047"/>
        <w:tblGridChange w:id="0">
          <w:tblGrid>
            <w:gridCol w:w="2943"/>
            <w:gridCol w:w="3044"/>
            <w:gridCol w:w="3047"/>
          </w:tblGrid>
        </w:tblGridChange>
      </w:tblGrid>
      <w:tr>
        <w:trPr>
          <w:cantSplit w:val="0"/>
          <w:trHeight w:val="712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89" w:lineRule="auto"/>
              <w:ind w:left="20" w:right="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CUANTÍA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89" w:lineRule="auto"/>
              <w:ind w:left="17" w:right="9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MONTO MÍNIMO (sin IGV)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89" w:lineRule="auto"/>
              <w:ind w:left="24" w:right="7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MONTO MÁXIMO (sin IGV)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/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Hasta S/2,500.00</w:t>
            </w:r>
          </w:p>
        </w:tc>
        <w:tc>
          <w:tcPr/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17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600.00</w:t>
            </w:r>
          </w:p>
        </w:tc>
        <w:tc>
          <w:tcPr/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4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625.00</w:t>
            </w:r>
          </w:p>
        </w:tc>
      </w:tr>
      <w:tr>
        <w:trPr>
          <w:cantSplit w:val="0"/>
          <w:trHeight w:val="739" w:hRule="atLeast"/>
          <w:tblHeader w:val="0"/>
        </w:trPr>
        <w:tc>
          <w:tcPr/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5" w:lineRule="auto"/>
              <w:ind w:left="20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S/2,501.00 a S/4,000.00</w:t>
            </w:r>
          </w:p>
        </w:tc>
        <w:tc>
          <w:tcPr/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17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625.00</w:t>
            </w:r>
          </w:p>
        </w:tc>
        <w:tc>
          <w:tcPr/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4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1,000.00</w:t>
            </w:r>
          </w:p>
        </w:tc>
      </w:tr>
      <w:tr>
        <w:trPr>
          <w:cantSplit w:val="0"/>
          <w:trHeight w:val="738" w:hRule="atLeast"/>
          <w:tblHeader w:val="0"/>
        </w:trPr>
        <w:tc>
          <w:tcPr/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5" w:lineRule="auto"/>
              <w:ind w:left="20" w:right="4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S/4,001.00 a S/6,500.00</w:t>
            </w:r>
          </w:p>
        </w:tc>
        <w:tc>
          <w:tcPr/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17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1,000.00</w:t>
            </w:r>
          </w:p>
        </w:tc>
        <w:tc>
          <w:tcPr/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4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1,625.00</w:t>
            </w:r>
          </w:p>
        </w:tc>
      </w:tr>
      <w:tr>
        <w:trPr>
          <w:cantSplit w:val="0"/>
          <w:trHeight w:val="741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Rule="auto"/>
              <w:ind w:left="20" w:right="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S/6,501.00 a S/8,000.00</w:t>
            </w:r>
          </w:p>
        </w:tc>
        <w:tc>
          <w:tcPr/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17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1,625.00</w:t>
            </w:r>
          </w:p>
        </w:tc>
        <w:tc>
          <w:tcPr/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2" w:lineRule="auto"/>
              <w:ind w:left="24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2,000.00</w:t>
            </w:r>
          </w:p>
        </w:tc>
      </w:tr>
      <w:tr>
        <w:trPr>
          <w:cantSplit w:val="0"/>
          <w:trHeight w:val="736" w:hRule="atLeast"/>
          <w:tblHeader w:val="0"/>
        </w:trPr>
        <w:tc>
          <w:tcPr/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5" w:lineRule="auto"/>
              <w:ind w:left="20" w:right="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S/8,001.00 a S/9,500.00</w:t>
            </w:r>
          </w:p>
        </w:tc>
        <w:tc>
          <w:tcPr/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17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2,000.00</w:t>
            </w:r>
          </w:p>
        </w:tc>
        <w:tc>
          <w:tcPr/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4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2,375.00</w:t>
            </w:r>
          </w:p>
        </w:tc>
      </w:tr>
      <w:tr>
        <w:trPr>
          <w:cantSplit w:val="0"/>
          <w:trHeight w:val="741" w:hRule="atLeast"/>
          <w:tblHeader w:val="0"/>
        </w:trPr>
        <w:tc>
          <w:tcPr/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5" w:lineRule="auto"/>
              <w:ind w:left="2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S/9,501 a S/15,000.00</w:t>
            </w:r>
          </w:p>
        </w:tc>
        <w:tc>
          <w:tcPr/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17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2,375.00</w:t>
            </w:r>
          </w:p>
        </w:tc>
        <w:tc>
          <w:tcPr/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4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3,750.00</w:t>
            </w:r>
          </w:p>
        </w:tc>
      </w:tr>
      <w:tr>
        <w:trPr>
          <w:cantSplit w:val="0"/>
          <w:trHeight w:val="739" w:hRule="atLeast"/>
          <w:tblHeader w:val="0"/>
        </w:trPr>
        <w:tc>
          <w:tcPr/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5" w:lineRule="auto"/>
              <w:ind w:left="20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S/15,001 a S/20,000.00</w:t>
            </w:r>
          </w:p>
        </w:tc>
        <w:tc>
          <w:tcPr/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17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3,750.00</w:t>
            </w:r>
          </w:p>
        </w:tc>
        <w:tc>
          <w:tcPr/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4" w:right="2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5,000.00</w:t>
            </w:r>
          </w:p>
        </w:tc>
      </w:tr>
      <w:tr>
        <w:trPr>
          <w:cantSplit w:val="0"/>
          <w:trHeight w:val="738" w:hRule="atLeast"/>
          <w:tblHeader w:val="0"/>
        </w:trPr>
        <w:tc>
          <w:tcPr/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0" w:right="6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 20,000.01 a S/50,000.00</w:t>
            </w:r>
          </w:p>
        </w:tc>
        <w:tc>
          <w:tcPr/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17" w:right="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5,000.00</w:t>
            </w:r>
          </w:p>
        </w:tc>
        <w:tc>
          <w:tcPr/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4" w:right="8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6,500.00</w:t>
            </w:r>
          </w:p>
        </w:tc>
      </w:tr>
      <w:tr>
        <w:trPr>
          <w:cantSplit w:val="0"/>
          <w:trHeight w:val="736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950" w:hanging="456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S/ 60,001.00 a S/ 100,000.00</w:t>
            </w:r>
          </w:p>
        </w:tc>
        <w:tc>
          <w:tcPr/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17" w:right="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6,500.00</w:t>
            </w:r>
          </w:p>
        </w:tc>
        <w:tc>
          <w:tcPr/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0" w:lineRule="auto"/>
              <w:ind w:left="24" w:right="8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S/ 7,300.00</w:t>
            </w:r>
          </w:p>
        </w:tc>
      </w:tr>
    </w:tbl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51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19"/>
        </w:tabs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La elección de los montos indicados queda a criterio de la Secretaría General.</w:t>
      </w:r>
    </w:p>
    <w:sectPr>
      <w:type w:val="nextPage"/>
      <w:pgSz w:h="16860" w:w="11930" w:orient="portrait"/>
      <w:pgMar w:bottom="780" w:top="740" w:left="1275" w:right="1275" w:header="0" w:footer="59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Ebrima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168275</wp:posOffset>
              </wp:positionH>
              <wp:positionV relativeFrom="paragraph">
                <wp:posOffset>10141585</wp:posOffset>
              </wp:positionV>
              <wp:extent cx="5518150" cy="268605"/>
              <wp:effectExtent b="0" l="0" r="0" t="0"/>
              <wp:wrapNone/>
              <wp:docPr id="1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586925" y="3645675"/>
                        <a:ext cx="5518150" cy="268605"/>
                        <a:chOff x="2586925" y="3645675"/>
                        <a:chExt cx="5518150" cy="268650"/>
                      </a:xfrm>
                    </wpg:grpSpPr>
                    <wpg:grpSp>
                      <wpg:cNvGrpSpPr/>
                      <wpg:grpSpPr>
                        <a:xfrm>
                          <a:off x="2586925" y="3645698"/>
                          <a:ext cx="5518150" cy="268605"/>
                          <a:chOff x="2586925" y="3645675"/>
                          <a:chExt cx="5518150" cy="26865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2586925" y="3645675"/>
                            <a:ext cx="5518150" cy="2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586925" y="3645698"/>
                            <a:ext cx="5518150" cy="268605"/>
                            <a:chOff x="2586900" y="3645675"/>
                            <a:chExt cx="5518175" cy="2686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2586900" y="3645675"/>
                              <a:ext cx="5518175" cy="26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586925" y="3645698"/>
                              <a:ext cx="5518150" cy="268600"/>
                              <a:chOff x="0" y="0"/>
                              <a:chExt cx="5518150" cy="268600"/>
                            </a:xfrm>
                          </wpg:grpSpPr>
                          <wps:wsp>
                            <wps:cNvSpPr/>
                            <wps:cNvPr id="8" name="Shape 8"/>
                            <wps:spPr>
                              <a:xfrm>
                                <a:off x="0" y="0"/>
                                <a:ext cx="5518150" cy="26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9" name="Shape 9"/>
                            <wps:spPr>
                              <a:xfrm>
                                <a:off x="0" y="132587"/>
                                <a:ext cx="5518150" cy="1270"/>
                              </a:xfrm>
                              <a:custGeom>
                                <a:rect b="b" l="l" r="r" t="t"/>
                                <a:pathLst>
                                  <a:path extrusionOk="0" h="120000" w="5518150">
                                    <a:moveTo>
                                      <a:pt x="0" y="0"/>
                                    </a:moveTo>
                                    <a:lnTo>
                                      <a:pt x="5518150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12175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" name="Shape 10"/>
                            <wps:spPr>
                              <a:xfrm>
                                <a:off x="2484882" y="14477"/>
                                <a:ext cx="546100" cy="239395"/>
                              </a:xfrm>
                              <a:custGeom>
                                <a:rect b="b" l="l" r="r" t="t"/>
                                <a:pathLst>
                                  <a:path extrusionOk="0" h="239395" w="546100">
                                    <a:moveTo>
                                      <a:pt x="505713" y="0"/>
                                    </a:moveTo>
                                    <a:lnTo>
                                      <a:pt x="39877" y="0"/>
                                    </a:lnTo>
                                    <a:lnTo>
                                      <a:pt x="24383" y="3136"/>
                                    </a:lnTo>
                                    <a:lnTo>
                                      <a:pt x="11683" y="11684"/>
                                    </a:lnTo>
                                    <a:lnTo>
                                      <a:pt x="3175" y="24358"/>
                                    </a:lnTo>
                                    <a:lnTo>
                                      <a:pt x="0" y="39878"/>
                                    </a:lnTo>
                                    <a:lnTo>
                                      <a:pt x="0" y="199390"/>
                                    </a:lnTo>
                                    <a:lnTo>
                                      <a:pt x="3175" y="214909"/>
                                    </a:lnTo>
                                    <a:lnTo>
                                      <a:pt x="11683" y="227584"/>
                                    </a:lnTo>
                                    <a:lnTo>
                                      <a:pt x="24383" y="236131"/>
                                    </a:lnTo>
                                    <a:lnTo>
                                      <a:pt x="39877" y="239268"/>
                                    </a:lnTo>
                                    <a:lnTo>
                                      <a:pt x="505713" y="239268"/>
                                    </a:lnTo>
                                    <a:lnTo>
                                      <a:pt x="521207" y="236131"/>
                                    </a:lnTo>
                                    <a:lnTo>
                                      <a:pt x="533907" y="227584"/>
                                    </a:lnTo>
                                    <a:lnTo>
                                      <a:pt x="542416" y="214909"/>
                                    </a:lnTo>
                                    <a:lnTo>
                                      <a:pt x="545591" y="199390"/>
                                    </a:lnTo>
                                    <a:lnTo>
                                      <a:pt x="545591" y="39878"/>
                                    </a:lnTo>
                                    <a:lnTo>
                                      <a:pt x="542416" y="24358"/>
                                    </a:lnTo>
                                    <a:lnTo>
                                      <a:pt x="533907" y="11684"/>
                                    </a:lnTo>
                                    <a:lnTo>
                                      <a:pt x="521207" y="3136"/>
                                    </a:lnTo>
                                    <a:lnTo>
                                      <a:pt x="5057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1" name="Shape 11"/>
                            <wps:spPr>
                              <a:xfrm>
                                <a:off x="2484882" y="14477"/>
                                <a:ext cx="546100" cy="239395"/>
                              </a:xfrm>
                              <a:custGeom>
                                <a:rect b="b" l="l" r="r" t="t"/>
                                <a:pathLst>
                                  <a:path extrusionOk="0" h="239395" w="546100">
                                    <a:moveTo>
                                      <a:pt x="39877" y="239268"/>
                                    </a:moveTo>
                                    <a:lnTo>
                                      <a:pt x="24383" y="236131"/>
                                    </a:lnTo>
                                    <a:lnTo>
                                      <a:pt x="11683" y="227584"/>
                                    </a:lnTo>
                                    <a:lnTo>
                                      <a:pt x="3175" y="214909"/>
                                    </a:lnTo>
                                    <a:lnTo>
                                      <a:pt x="0" y="199390"/>
                                    </a:lnTo>
                                    <a:lnTo>
                                      <a:pt x="0" y="39878"/>
                                    </a:lnTo>
                                    <a:lnTo>
                                      <a:pt x="3175" y="24358"/>
                                    </a:lnTo>
                                    <a:lnTo>
                                      <a:pt x="11683" y="11684"/>
                                    </a:lnTo>
                                    <a:lnTo>
                                      <a:pt x="24383" y="3136"/>
                                    </a:lnTo>
                                    <a:lnTo>
                                      <a:pt x="39877" y="0"/>
                                    </a:lnTo>
                                  </a:path>
                                  <a:path extrusionOk="0" h="239395" w="546100">
                                    <a:moveTo>
                                      <a:pt x="505713" y="0"/>
                                    </a:moveTo>
                                    <a:lnTo>
                                      <a:pt x="521207" y="3136"/>
                                    </a:lnTo>
                                    <a:lnTo>
                                      <a:pt x="533907" y="11684"/>
                                    </a:lnTo>
                                    <a:lnTo>
                                      <a:pt x="542416" y="24358"/>
                                    </a:lnTo>
                                    <a:lnTo>
                                      <a:pt x="545591" y="39878"/>
                                    </a:lnTo>
                                    <a:lnTo>
                                      <a:pt x="545591" y="199390"/>
                                    </a:lnTo>
                                    <a:lnTo>
                                      <a:pt x="542416" y="214909"/>
                                    </a:lnTo>
                                    <a:lnTo>
                                      <a:pt x="533907" y="227584"/>
                                    </a:lnTo>
                                    <a:lnTo>
                                      <a:pt x="521207" y="236131"/>
                                    </a:lnTo>
                                    <a:lnTo>
                                      <a:pt x="505713" y="239268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28950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168275</wp:posOffset>
              </wp:positionH>
              <wp:positionV relativeFrom="paragraph">
                <wp:posOffset>10141585</wp:posOffset>
              </wp:positionV>
              <wp:extent cx="5518150" cy="268605"/>
              <wp:effectExtent b="0" l="0" r="0" t="0"/>
              <wp:wrapNone/>
              <wp:docPr id="1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18150" cy="2686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2835847</wp:posOffset>
              </wp:positionH>
              <wp:positionV relativeFrom="paragraph">
                <wp:posOffset>10158703</wp:posOffset>
              </wp:positionV>
              <wp:extent cx="193675" cy="240665"/>
              <wp:effectExtent b="0" l="0" r="0" t="0"/>
              <wp:wrapNone/>
              <wp:docPr id="1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63450" y="3673955"/>
                        <a:ext cx="16510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2.000000476837158" w:line="240"/>
                            <w:ind w:left="60" w:right="0" w:firstLine="1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Ebrima" w:cs="Ebrima" w:eastAsia="Ebrima" w:hAnsi="Ebri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 PAGE 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2835847</wp:posOffset>
              </wp:positionH>
              <wp:positionV relativeFrom="paragraph">
                <wp:posOffset>10158703</wp:posOffset>
              </wp:positionV>
              <wp:extent cx="193675" cy="240665"/>
              <wp:effectExtent b="0" l="0" r="0" t="0"/>
              <wp:wrapNone/>
              <wp:docPr id="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3675" cy="2406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275" w:hanging="274"/>
      </w:pPr>
      <w:rPr>
        <w:rFonts w:ascii="Ebrima" w:cs="Ebrima" w:eastAsia="Ebrima" w:hAnsi="Ebrima"/>
        <w:b w:val="1"/>
        <w:i w:val="0"/>
        <w:color w:val="0d223c"/>
        <w:sz w:val="22"/>
        <w:szCs w:val="22"/>
      </w:rPr>
    </w:lvl>
    <w:lvl w:ilvl="1">
      <w:start w:val="0"/>
      <w:numFmt w:val="bullet"/>
      <w:lvlText w:val="⮚"/>
      <w:lvlJc w:val="left"/>
      <w:pPr>
        <w:ind w:left="719" w:hanging="357"/>
      </w:pPr>
      <w:rPr>
        <w:rFonts w:ascii="Noto Sans Symbols" w:cs="Noto Sans Symbols" w:eastAsia="Noto Sans Symbols" w:hAnsi="Noto Sans Symbols"/>
        <w:b w:val="0"/>
        <w:i w:val="0"/>
        <w:sz w:val="22"/>
        <w:szCs w:val="22"/>
      </w:rPr>
    </w:lvl>
    <w:lvl w:ilvl="2">
      <w:start w:val="0"/>
      <w:numFmt w:val="bullet"/>
      <w:lvlText w:val="•"/>
      <w:lvlJc w:val="left"/>
      <w:pPr>
        <w:ind w:left="1681" w:hanging="358"/>
      </w:pPr>
      <w:rPr/>
    </w:lvl>
    <w:lvl w:ilvl="3">
      <w:start w:val="0"/>
      <w:numFmt w:val="bullet"/>
      <w:lvlText w:val="•"/>
      <w:lvlJc w:val="left"/>
      <w:pPr>
        <w:ind w:left="2642" w:hanging="358"/>
      </w:pPr>
      <w:rPr/>
    </w:lvl>
    <w:lvl w:ilvl="4">
      <w:start w:val="0"/>
      <w:numFmt w:val="bullet"/>
      <w:lvlText w:val="•"/>
      <w:lvlJc w:val="left"/>
      <w:pPr>
        <w:ind w:left="3603" w:hanging="358"/>
      </w:pPr>
      <w:rPr/>
    </w:lvl>
    <w:lvl w:ilvl="5">
      <w:start w:val="0"/>
      <w:numFmt w:val="bullet"/>
      <w:lvlText w:val="•"/>
      <w:lvlJc w:val="left"/>
      <w:pPr>
        <w:ind w:left="4564" w:hanging="358"/>
      </w:pPr>
      <w:rPr/>
    </w:lvl>
    <w:lvl w:ilvl="6">
      <w:start w:val="0"/>
      <w:numFmt w:val="bullet"/>
      <w:lvlText w:val="•"/>
      <w:lvlJc w:val="left"/>
      <w:pPr>
        <w:ind w:left="5526" w:hanging="357"/>
      </w:pPr>
      <w:rPr/>
    </w:lvl>
    <w:lvl w:ilvl="7">
      <w:start w:val="0"/>
      <w:numFmt w:val="bullet"/>
      <w:lvlText w:val="•"/>
      <w:lvlJc w:val="left"/>
      <w:pPr>
        <w:ind w:left="6487" w:hanging="357"/>
      </w:pPr>
      <w:rPr/>
    </w:lvl>
    <w:lvl w:ilvl="8">
      <w:start w:val="0"/>
      <w:numFmt w:val="bullet"/>
      <w:lvlText w:val="•"/>
      <w:lvlJc w:val="left"/>
      <w:pPr>
        <w:ind w:left="7448" w:hanging="358"/>
      </w:pPr>
      <w:rPr/>
    </w:lvl>
  </w:abstractNum>
  <w:abstractNum w:abstractNumId="5">
    <w:lvl w:ilvl="0">
      <w:start w:val="1"/>
      <w:numFmt w:val="upperLetter"/>
      <w:lvlText w:val="%1."/>
      <w:lvlJc w:val="left"/>
      <w:pPr>
        <w:ind w:left="275" w:hanging="274"/>
      </w:pPr>
      <w:rPr>
        <w:rFonts w:ascii="Ebrima" w:cs="Ebrima" w:eastAsia="Ebrima" w:hAnsi="Ebrima"/>
        <w:b w:val="1"/>
        <w:i w:val="0"/>
        <w:color w:val="e80303"/>
        <w:sz w:val="22"/>
        <w:szCs w:val="22"/>
      </w:rPr>
    </w:lvl>
    <w:lvl w:ilvl="1">
      <w:start w:val="0"/>
      <w:numFmt w:val="bullet"/>
      <w:lvlText w:val="•"/>
      <w:lvlJc w:val="left"/>
      <w:pPr>
        <w:ind w:left="1189" w:hanging="274"/>
      </w:pPr>
      <w:rPr/>
    </w:lvl>
    <w:lvl w:ilvl="2">
      <w:start w:val="0"/>
      <w:numFmt w:val="bullet"/>
      <w:lvlText w:val="•"/>
      <w:lvlJc w:val="left"/>
      <w:pPr>
        <w:ind w:left="2098" w:hanging="274"/>
      </w:pPr>
      <w:rPr/>
    </w:lvl>
    <w:lvl w:ilvl="3">
      <w:start w:val="0"/>
      <w:numFmt w:val="bullet"/>
      <w:lvlText w:val="•"/>
      <w:lvlJc w:val="left"/>
      <w:pPr>
        <w:ind w:left="3007" w:hanging="274"/>
      </w:pPr>
      <w:rPr/>
    </w:lvl>
    <w:lvl w:ilvl="4">
      <w:start w:val="0"/>
      <w:numFmt w:val="bullet"/>
      <w:lvlText w:val="•"/>
      <w:lvlJc w:val="left"/>
      <w:pPr>
        <w:ind w:left="3916" w:hanging="273"/>
      </w:pPr>
      <w:rPr/>
    </w:lvl>
    <w:lvl w:ilvl="5">
      <w:start w:val="0"/>
      <w:numFmt w:val="bullet"/>
      <w:lvlText w:val="•"/>
      <w:lvlJc w:val="left"/>
      <w:pPr>
        <w:ind w:left="4825" w:hanging="274"/>
      </w:pPr>
      <w:rPr/>
    </w:lvl>
    <w:lvl w:ilvl="6">
      <w:start w:val="0"/>
      <w:numFmt w:val="bullet"/>
      <w:lvlText w:val="•"/>
      <w:lvlJc w:val="left"/>
      <w:pPr>
        <w:ind w:left="5734" w:hanging="274"/>
      </w:pPr>
      <w:rPr/>
    </w:lvl>
    <w:lvl w:ilvl="7">
      <w:start w:val="0"/>
      <w:numFmt w:val="bullet"/>
      <w:lvlText w:val="•"/>
      <w:lvlJc w:val="left"/>
      <w:pPr>
        <w:ind w:left="6643" w:hanging="274"/>
      </w:pPr>
      <w:rPr/>
    </w:lvl>
    <w:lvl w:ilvl="8">
      <w:start w:val="0"/>
      <w:numFmt w:val="bullet"/>
      <w:lvlText w:val="•"/>
      <w:lvlJc w:val="left"/>
      <w:pPr>
        <w:ind w:left="7552" w:hanging="272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brima" w:cs="Ebrima" w:eastAsia="Ebrima" w:hAnsi="Ebrima"/>
        <w:sz w:val="22"/>
        <w:szCs w:val="22"/>
        <w:lang w:val="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" w:lineRule="auto"/>
      <w:ind w:left="286" w:right="430" w:hanging="3.000000000000007"/>
      <w:jc w:val="center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ndependiente">
    <w:name w:val="Body Text"/>
    <w:basedOn w:val="Normal"/>
    <w:uiPriority w:val="1"/>
    <w:qFormat w:val="1"/>
  </w:style>
  <w:style w:type="paragraph" w:styleId="Prrafodelista">
    <w:name w:val="List Paragraph"/>
    <w:basedOn w:val="Normal"/>
    <w:uiPriority w:val="1"/>
    <w:qFormat w:val="1"/>
    <w:pPr>
      <w:ind w:left="719" w:hanging="357"/>
    </w:pPr>
  </w:style>
  <w:style w:type="paragraph" w:styleId="TableParagraph" w:customStyle="1">
    <w:name w:val="Table Paragraph"/>
    <w:basedOn w:val="Normal"/>
    <w:uiPriority w:val="1"/>
    <w:qFormat w:val="1"/>
    <w:pPr>
      <w:spacing w:before="90"/>
      <w:ind w:left="20"/>
      <w:jc w:val="center"/>
    </w:pPr>
  </w:style>
  <w:style w:type="table" w:styleId="a" w:customStyle="1">
    <w:basedOn w:val="TableNormal1"/>
    <w:tblPr>
      <w:tblStyleRowBandSize w:val="1"/>
      <w:tblStyleColBandSize w:val="1"/>
    </w:tblPr>
  </w:style>
  <w:style w:type="table" w:styleId="a0" w:customStyle="1">
    <w:basedOn w:val="TableNormal1"/>
    <w:tblPr>
      <w:tblStyleRowBandSize w:val="1"/>
      <w:tblStyleColBandSize w:val="1"/>
    </w:tblPr>
  </w:style>
  <w:style w:type="table" w:styleId="a1" w:customStyle="1">
    <w:basedOn w:val="TableNormal1"/>
    <w:tblPr>
      <w:tblStyleRowBandSize w:val="1"/>
      <w:tblStyleColBandSize w:val="1"/>
    </w:tblPr>
  </w:style>
  <w:style w:type="table" w:styleId="a2" w:customStyle="1">
    <w:basedOn w:val="TableNormal1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 w:val="1"/>
    <w:rsid w:val="00562A6C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A6C"/>
  </w:style>
  <w:style w:type="paragraph" w:styleId="Piedepgina">
    <w:name w:val="footer"/>
    <w:basedOn w:val="Normal"/>
    <w:link w:val="PiedepginaCar"/>
    <w:uiPriority w:val="99"/>
    <w:unhideWhenUsed w:val="1"/>
    <w:rsid w:val="00562A6C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A6C"/>
  </w:style>
  <w:style w:type="table" w:styleId="a3" w:customStyle="1">
    <w:basedOn w:val="TableNormal0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ZOxgvfgwXTq7bt52PwAEGUwdnw==">CgMxLjA4AHIhMVRIMllIeVZyTUt2UGJkREI1N2o4OEgxaVZGTUphbEx0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2025-09-11T21:42:00Z</dcterms:created>
  <dc:creator>Ariana Nicole Vilela Lucano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2025-09-10T00:00:00Z</vt:filetime>
  </property>
  <property fmtid="{D5CDD505-2E9C-101B-9397-08002B2CF9AE}" pid="5" name="Producer">
    <vt:lpwstr>Microsoft® Word LTSC</vt:lpwstr>
  </property>
</Properties>
</file>